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int="eastAsia" w:ascii="黑体" w:eastAsia="黑体"/>
          <w:b/>
          <w:sz w:val="36"/>
          <w:szCs w:val="36"/>
        </w:rPr>
      </w:pPr>
      <w:r>
        <w:rPr>
          <w:rFonts w:hint="eastAsia" w:ascii="黑体" w:eastAsia="黑体"/>
          <w:b/>
          <w:sz w:val="36"/>
          <w:szCs w:val="36"/>
        </w:rPr>
        <w:t>消防安全重点单位申报表</w:t>
      </w:r>
      <w:bookmarkStart w:id="0" w:name="_GoBack"/>
      <w:bookmarkEnd w:id="0"/>
    </w:p>
    <w:p>
      <w:pPr>
        <w:rPr>
          <w:rFonts w:hint="eastAsia" w:ascii="Times New Roman" w:hAnsi="Times New Roman"/>
          <w:szCs w:val="24"/>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02"/>
        <w:gridCol w:w="1010"/>
        <w:gridCol w:w="213"/>
        <w:gridCol w:w="3424"/>
        <w:gridCol w:w="1255"/>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144" w:type="dxa"/>
            <w:gridSpan w:val="2"/>
            <w:vAlign w:val="center"/>
          </w:tcPr>
          <w:p>
            <w:pPr>
              <w:jc w:val="center"/>
              <w:rPr>
                <w:rFonts w:hint="default" w:ascii="Times New Roman" w:hAnsi="Times New Roman" w:cs="Times New Roman"/>
                <w:b w:val="0"/>
                <w:bCs/>
                <w:szCs w:val="24"/>
                <w:vertAlign w:val="baseline"/>
              </w:rPr>
            </w:pPr>
            <w:r>
              <w:rPr>
                <w:rFonts w:hint="default" w:ascii="Times New Roman" w:hAnsi="Times New Roman" w:eastAsia="仿宋_GB2312" w:cs="Times New Roman"/>
                <w:b w:val="0"/>
                <w:bCs/>
                <w:color w:val="000000"/>
                <w:szCs w:val="24"/>
              </w:rPr>
              <w:t>单位名称</w:t>
            </w:r>
          </w:p>
        </w:tc>
        <w:tc>
          <w:tcPr>
            <w:tcW w:w="4647" w:type="dxa"/>
            <w:gridSpan w:val="3"/>
            <w:vAlign w:val="center"/>
          </w:tcPr>
          <w:p>
            <w:pPr>
              <w:jc w:val="center"/>
              <w:rPr>
                <w:rFonts w:hint="default" w:ascii="Times New Roman" w:hAnsi="Times New Roman" w:cs="Times New Roman"/>
                <w:b w:val="0"/>
                <w:bCs/>
                <w:szCs w:val="24"/>
                <w:vertAlign w:val="baseline"/>
              </w:rPr>
            </w:pPr>
          </w:p>
        </w:tc>
        <w:tc>
          <w:tcPr>
            <w:tcW w:w="1255" w:type="dxa"/>
            <w:vAlign w:val="center"/>
          </w:tcPr>
          <w:p>
            <w:pPr>
              <w:jc w:val="center"/>
              <w:rPr>
                <w:rFonts w:hint="default" w:ascii="Times New Roman" w:hAnsi="Times New Roman" w:cs="Times New Roman"/>
                <w:b w:val="0"/>
                <w:bCs/>
                <w:szCs w:val="24"/>
                <w:vertAlign w:val="baseline"/>
              </w:rPr>
            </w:pPr>
            <w:r>
              <w:rPr>
                <w:rFonts w:hint="default" w:ascii="Times New Roman" w:hAnsi="Times New Roman" w:eastAsia="仿宋_GB2312" w:cs="Times New Roman"/>
                <w:b w:val="0"/>
                <w:bCs/>
                <w:color w:val="000000"/>
                <w:szCs w:val="24"/>
              </w:rPr>
              <w:t>联系电话</w:t>
            </w:r>
          </w:p>
        </w:tc>
        <w:tc>
          <w:tcPr>
            <w:tcW w:w="1476" w:type="dxa"/>
            <w:vAlign w:val="center"/>
          </w:tcPr>
          <w:p>
            <w:pPr>
              <w:jc w:val="center"/>
              <w:rPr>
                <w:rFonts w:hint="default" w:ascii="Times New Roman" w:hAnsi="Times New Roman" w:cs="Times New Roman"/>
                <w:b w:val="0"/>
                <w:bCs/>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144" w:type="dxa"/>
            <w:gridSpan w:val="2"/>
            <w:vAlign w:val="center"/>
          </w:tcPr>
          <w:p>
            <w:pPr>
              <w:jc w:val="center"/>
              <w:rPr>
                <w:rFonts w:hint="default" w:ascii="Times New Roman" w:hAnsi="Times New Roman" w:cs="Times New Roman"/>
                <w:b w:val="0"/>
                <w:bCs/>
                <w:szCs w:val="24"/>
                <w:vertAlign w:val="baseline"/>
              </w:rPr>
            </w:pPr>
            <w:r>
              <w:rPr>
                <w:rFonts w:hint="default" w:ascii="Times New Roman" w:hAnsi="Times New Roman" w:eastAsia="仿宋_GB2312" w:cs="Times New Roman"/>
                <w:b w:val="0"/>
                <w:bCs/>
                <w:color w:val="000000"/>
                <w:szCs w:val="24"/>
              </w:rPr>
              <w:t>地   址</w:t>
            </w:r>
          </w:p>
        </w:tc>
        <w:tc>
          <w:tcPr>
            <w:tcW w:w="4647" w:type="dxa"/>
            <w:gridSpan w:val="3"/>
            <w:vAlign w:val="center"/>
          </w:tcPr>
          <w:p>
            <w:pPr>
              <w:jc w:val="center"/>
              <w:rPr>
                <w:rFonts w:hint="default" w:ascii="Times New Roman" w:hAnsi="Times New Roman" w:cs="Times New Roman"/>
                <w:b w:val="0"/>
                <w:bCs/>
                <w:szCs w:val="24"/>
                <w:vertAlign w:val="baseline"/>
              </w:rPr>
            </w:pPr>
            <w:r>
              <w:rPr>
                <w:rFonts w:hint="default" w:ascii="Times New Roman" w:hAnsi="Times New Roman" w:eastAsia="仿宋_GB2312" w:cs="Times New Roman"/>
                <w:b w:val="0"/>
                <w:bCs/>
                <w:color w:val="000000"/>
                <w:szCs w:val="24"/>
              </w:rPr>
              <w:t>区（县）           路　　　　号</w:t>
            </w:r>
          </w:p>
        </w:tc>
        <w:tc>
          <w:tcPr>
            <w:tcW w:w="1255" w:type="dxa"/>
            <w:vAlign w:val="center"/>
          </w:tcPr>
          <w:p>
            <w:pPr>
              <w:jc w:val="center"/>
              <w:rPr>
                <w:rFonts w:hint="default" w:ascii="Times New Roman" w:hAnsi="Times New Roman" w:cs="Times New Roman"/>
                <w:b w:val="0"/>
                <w:bCs/>
                <w:szCs w:val="24"/>
                <w:vertAlign w:val="baseline"/>
              </w:rPr>
            </w:pPr>
            <w:r>
              <w:rPr>
                <w:rFonts w:hint="default" w:ascii="Times New Roman" w:hAnsi="Times New Roman" w:eastAsia="仿宋_GB2312" w:cs="Times New Roman"/>
                <w:b w:val="0"/>
                <w:bCs/>
                <w:color w:val="000000"/>
                <w:szCs w:val="24"/>
              </w:rPr>
              <w:t>邮　　编</w:t>
            </w:r>
          </w:p>
        </w:tc>
        <w:tc>
          <w:tcPr>
            <w:tcW w:w="1476" w:type="dxa"/>
            <w:vAlign w:val="center"/>
          </w:tcPr>
          <w:p>
            <w:pPr>
              <w:jc w:val="center"/>
              <w:rPr>
                <w:rFonts w:hint="default" w:ascii="Times New Roman" w:hAnsi="Times New Roman" w:cs="Times New Roman"/>
                <w:b w:val="0"/>
                <w:bCs/>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367" w:type="dxa"/>
            <w:gridSpan w:val="4"/>
            <w:vAlign w:val="center"/>
          </w:tcPr>
          <w:p>
            <w:pPr>
              <w:adjustRightInd w:val="0"/>
              <w:snapToGrid w:val="0"/>
              <w:spacing w:line="264" w:lineRule="auto"/>
              <w:jc w:val="center"/>
              <w:rPr>
                <w:rFonts w:hint="default" w:ascii="Times New Roman" w:hAnsi="Times New Roman" w:eastAsia="仿宋_GB2312" w:cs="Times New Roman"/>
                <w:b w:val="0"/>
                <w:bCs/>
                <w:color w:val="000000"/>
                <w:kern w:val="2"/>
                <w:sz w:val="21"/>
                <w:szCs w:val="24"/>
                <w:lang w:val="en-US" w:eastAsia="zh-CN" w:bidi="ar-SA"/>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是否原消防重点单位</w:t>
            </w:r>
          </w:p>
        </w:tc>
        <w:tc>
          <w:tcPr>
            <w:tcW w:w="6155" w:type="dxa"/>
            <w:gridSpan w:val="3"/>
            <w:vAlign w:val="center"/>
          </w:tcPr>
          <w:p>
            <w:pPr>
              <w:jc w:val="center"/>
              <w:rPr>
                <w:rFonts w:hint="default" w:ascii="Times New Roman" w:hAnsi="Times New Roman" w:cs="Times New Roman"/>
                <w:b w:val="0"/>
                <w:bCs/>
                <w:szCs w:val="24"/>
                <w:vertAlign w:val="baseline"/>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 xml:space="preserve">否    </w:t>
            </w: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 xml:space="preserve">区、县消防重点单位    </w:t>
            </w: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市消防重点单位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642" w:type="dxa"/>
            <w:vMerge w:val="restart"/>
            <w:vAlign w:val="center"/>
          </w:tcPr>
          <w:p>
            <w:pPr>
              <w:adjustRightInd w:val="0"/>
              <w:snapToGrid w:val="0"/>
              <w:spacing w:line="264" w:lineRule="auto"/>
              <w:jc w:val="center"/>
              <w:rPr>
                <w:rFonts w:hint="default" w:ascii="Times New Roman" w:hAnsi="Times New Roman" w:eastAsia="仿宋_GB2312" w:cs="Times New Roman"/>
                <w:b w:val="0"/>
                <w:bCs/>
                <w:color w:val="000000"/>
                <w:szCs w:val="24"/>
              </w:rPr>
            </w:pPr>
            <w:r>
              <w:rPr>
                <w:rFonts w:hint="default" w:ascii="Times New Roman" w:hAnsi="Times New Roman" w:eastAsia="仿宋_GB2312" w:cs="Times New Roman"/>
                <w:b w:val="0"/>
                <w:bCs/>
                <w:color w:val="000000"/>
                <w:szCs w:val="24"/>
              </w:rPr>
              <w:t>申</w:t>
            </w:r>
          </w:p>
          <w:p>
            <w:pPr>
              <w:adjustRightInd w:val="0"/>
              <w:snapToGrid w:val="0"/>
              <w:spacing w:line="264" w:lineRule="auto"/>
              <w:jc w:val="center"/>
              <w:rPr>
                <w:rFonts w:hint="default" w:ascii="Times New Roman" w:hAnsi="Times New Roman" w:eastAsia="仿宋_GB2312" w:cs="Times New Roman"/>
                <w:b w:val="0"/>
                <w:bCs/>
                <w:color w:val="000000"/>
                <w:szCs w:val="24"/>
              </w:rPr>
            </w:pPr>
          </w:p>
          <w:p>
            <w:pPr>
              <w:adjustRightInd w:val="0"/>
              <w:snapToGrid w:val="0"/>
              <w:spacing w:line="264" w:lineRule="auto"/>
              <w:jc w:val="center"/>
              <w:rPr>
                <w:rFonts w:hint="default" w:ascii="Times New Roman" w:hAnsi="Times New Roman" w:eastAsia="仿宋_GB2312" w:cs="Times New Roman"/>
                <w:b w:val="0"/>
                <w:bCs/>
                <w:color w:val="000000"/>
                <w:szCs w:val="24"/>
              </w:rPr>
            </w:pPr>
            <w:r>
              <w:rPr>
                <w:rFonts w:hint="default" w:ascii="Times New Roman" w:hAnsi="Times New Roman" w:eastAsia="仿宋_GB2312" w:cs="Times New Roman"/>
                <w:b w:val="0"/>
                <w:bCs/>
                <w:color w:val="000000"/>
                <w:szCs w:val="24"/>
              </w:rPr>
              <w:t>报</w:t>
            </w:r>
          </w:p>
          <w:p>
            <w:pPr>
              <w:adjustRightInd w:val="0"/>
              <w:snapToGrid w:val="0"/>
              <w:spacing w:line="264" w:lineRule="auto"/>
              <w:jc w:val="center"/>
              <w:rPr>
                <w:rFonts w:hint="default" w:ascii="Times New Roman" w:hAnsi="Times New Roman" w:eastAsia="仿宋_GB2312" w:cs="Times New Roman"/>
                <w:b w:val="0"/>
                <w:bCs/>
                <w:color w:val="000000"/>
                <w:szCs w:val="24"/>
              </w:rPr>
            </w:pPr>
          </w:p>
          <w:p>
            <w:pPr>
              <w:adjustRightInd w:val="0"/>
              <w:snapToGrid w:val="0"/>
              <w:spacing w:line="264" w:lineRule="auto"/>
              <w:jc w:val="center"/>
              <w:rPr>
                <w:rFonts w:hint="default" w:ascii="Times New Roman" w:hAnsi="Times New Roman" w:eastAsia="仿宋_GB2312" w:cs="Times New Roman"/>
                <w:b w:val="0"/>
                <w:bCs/>
                <w:color w:val="000000"/>
                <w:szCs w:val="24"/>
              </w:rPr>
            </w:pPr>
            <w:r>
              <w:rPr>
                <w:rFonts w:hint="default" w:ascii="Times New Roman" w:hAnsi="Times New Roman" w:eastAsia="仿宋_GB2312" w:cs="Times New Roman"/>
                <w:b w:val="0"/>
                <w:bCs/>
                <w:color w:val="000000"/>
                <w:szCs w:val="24"/>
              </w:rPr>
              <w:t>单</w:t>
            </w:r>
          </w:p>
          <w:p>
            <w:pPr>
              <w:adjustRightInd w:val="0"/>
              <w:snapToGrid w:val="0"/>
              <w:spacing w:line="264" w:lineRule="auto"/>
              <w:jc w:val="center"/>
              <w:rPr>
                <w:rFonts w:hint="default" w:ascii="Times New Roman" w:hAnsi="Times New Roman" w:eastAsia="仿宋_GB2312" w:cs="Times New Roman"/>
                <w:b w:val="0"/>
                <w:bCs/>
                <w:color w:val="000000"/>
                <w:szCs w:val="24"/>
              </w:rPr>
            </w:pPr>
          </w:p>
          <w:p>
            <w:pPr>
              <w:adjustRightInd w:val="0"/>
              <w:snapToGrid w:val="0"/>
              <w:spacing w:line="264" w:lineRule="auto"/>
              <w:jc w:val="center"/>
              <w:rPr>
                <w:rFonts w:hint="default" w:ascii="Times New Roman" w:hAnsi="Times New Roman" w:eastAsia="仿宋_GB2312" w:cs="Times New Roman"/>
                <w:b w:val="0"/>
                <w:bCs/>
                <w:color w:val="000000"/>
                <w:szCs w:val="24"/>
              </w:rPr>
            </w:pPr>
            <w:r>
              <w:rPr>
                <w:rFonts w:hint="default" w:ascii="Times New Roman" w:hAnsi="Times New Roman" w:eastAsia="仿宋_GB2312" w:cs="Times New Roman"/>
                <w:b w:val="0"/>
                <w:bCs/>
                <w:color w:val="000000"/>
                <w:szCs w:val="24"/>
              </w:rPr>
              <w:t>位</w:t>
            </w:r>
          </w:p>
          <w:p>
            <w:pPr>
              <w:adjustRightInd w:val="0"/>
              <w:snapToGrid w:val="0"/>
              <w:spacing w:line="264" w:lineRule="auto"/>
              <w:jc w:val="center"/>
              <w:rPr>
                <w:rFonts w:hint="default" w:ascii="Times New Roman" w:hAnsi="Times New Roman" w:eastAsia="仿宋_GB2312" w:cs="Times New Roman"/>
                <w:b w:val="0"/>
                <w:bCs/>
                <w:color w:val="000000"/>
                <w:szCs w:val="24"/>
              </w:rPr>
            </w:pPr>
          </w:p>
          <w:p>
            <w:pPr>
              <w:adjustRightInd w:val="0"/>
              <w:snapToGrid w:val="0"/>
              <w:spacing w:line="264" w:lineRule="auto"/>
              <w:jc w:val="center"/>
              <w:rPr>
                <w:rFonts w:hint="default" w:ascii="Times New Roman" w:hAnsi="Times New Roman" w:eastAsia="仿宋_GB2312" w:cs="Times New Roman"/>
                <w:b w:val="0"/>
                <w:bCs/>
                <w:color w:val="000000"/>
                <w:szCs w:val="24"/>
              </w:rPr>
            </w:pPr>
            <w:r>
              <w:rPr>
                <w:rFonts w:hint="default" w:ascii="Times New Roman" w:hAnsi="Times New Roman" w:eastAsia="仿宋_GB2312" w:cs="Times New Roman"/>
                <w:b w:val="0"/>
                <w:bCs/>
                <w:color w:val="000000"/>
                <w:szCs w:val="24"/>
              </w:rPr>
              <w:t>属</w:t>
            </w:r>
          </w:p>
          <w:p>
            <w:pPr>
              <w:adjustRightInd w:val="0"/>
              <w:snapToGrid w:val="0"/>
              <w:spacing w:line="264" w:lineRule="auto"/>
              <w:jc w:val="center"/>
              <w:rPr>
                <w:rFonts w:hint="default" w:ascii="Times New Roman" w:hAnsi="Times New Roman" w:eastAsia="仿宋_GB2312" w:cs="Times New Roman"/>
                <w:b w:val="0"/>
                <w:bCs/>
                <w:color w:val="000000"/>
                <w:szCs w:val="24"/>
              </w:rPr>
            </w:pPr>
          </w:p>
          <w:p>
            <w:pPr>
              <w:jc w:val="center"/>
              <w:rPr>
                <w:rFonts w:hint="default" w:ascii="Times New Roman" w:hAnsi="Times New Roman" w:cs="Times New Roman"/>
                <w:b w:val="0"/>
                <w:bCs/>
                <w:szCs w:val="24"/>
                <w:vertAlign w:val="baseline"/>
              </w:rPr>
            </w:pPr>
            <w:r>
              <w:rPr>
                <w:rFonts w:hint="default" w:ascii="Times New Roman" w:hAnsi="Times New Roman" w:eastAsia="仿宋_GB2312" w:cs="Times New Roman"/>
                <w:b w:val="0"/>
                <w:bCs/>
                <w:color w:val="000000"/>
                <w:szCs w:val="24"/>
              </w:rPr>
              <w:t>性</w:t>
            </w:r>
          </w:p>
        </w:tc>
        <w:tc>
          <w:tcPr>
            <w:tcW w:w="1512" w:type="dxa"/>
            <w:gridSpan w:val="2"/>
            <w:vMerge w:val="restart"/>
            <w:vAlign w:val="center"/>
          </w:tcPr>
          <w:p>
            <w:pPr>
              <w:jc w:val="center"/>
              <w:rPr>
                <w:rFonts w:hint="default" w:ascii="Times New Roman" w:hAnsi="Times New Roman" w:eastAsia="宋体" w:cs="Times New Roman"/>
                <w:b w:val="0"/>
                <w:bCs/>
                <w:szCs w:val="24"/>
                <w:vertAlign w:val="baseline"/>
                <w:lang w:eastAsia="zh-CN"/>
              </w:rPr>
            </w:pPr>
            <w:r>
              <w:rPr>
                <w:rFonts w:hint="default" w:ascii="Times New Roman" w:hAnsi="Times New Roman" w:eastAsia="仿宋_GB2312" w:cs="Times New Roman"/>
                <w:b w:val="0"/>
                <w:bCs/>
                <w:color w:val="000000"/>
                <w:szCs w:val="24"/>
                <w:lang w:eastAsia="zh-CN"/>
              </w:rPr>
              <w:t>公众聚集场所</w:t>
            </w: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客房数在100间以上</w:t>
            </w:r>
            <w:r>
              <w:rPr>
                <w:rFonts w:hint="default" w:ascii="Times New Roman" w:hAnsi="Times New Roman" w:eastAsia="仿宋_GB2312" w:cs="Times New Roman"/>
                <w:b w:val="0"/>
                <w:bCs/>
                <w:color w:val="000000"/>
                <w:szCs w:val="24"/>
                <w:lang w:val="en-US" w:eastAsia="zh-CN"/>
              </w:rPr>
              <w:t xml:space="preserve">   </w:t>
            </w: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设置于地下、半地下客房数在50间以上</w:t>
            </w:r>
          </w:p>
          <w:p>
            <w:pPr>
              <w:jc w:val="left"/>
              <w:rPr>
                <w:rFonts w:hint="default" w:ascii="Times New Roman" w:hAnsi="Times New Roman" w:cs="Times New Roman"/>
                <w:b w:val="0"/>
                <w:bCs/>
                <w:szCs w:val="24"/>
                <w:vertAlign w:val="baseline"/>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建筑面积在3000平方米以上的旅馆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建筑面积在3000平方米以上</w:t>
            </w:r>
          </w:p>
          <w:p>
            <w:pPr>
              <w:ind w:left="210" w:hanging="210" w:hangingChars="100"/>
              <w:jc w:val="left"/>
              <w:rPr>
                <w:rFonts w:hint="default" w:ascii="Times New Roman" w:hAnsi="Times New Roman" w:cs="Times New Roman"/>
                <w:b w:val="0"/>
                <w:bCs/>
                <w:szCs w:val="24"/>
                <w:vertAlign w:val="baseline"/>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设置于地下半地下建筑面积在500平方米以上</w:t>
            </w:r>
            <w:r>
              <w:rPr>
                <w:rFonts w:hint="default"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室内经营可燃商品的商场、集贸市场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ind w:left="210" w:hanging="210" w:hangingChars="100"/>
              <w:jc w:val="left"/>
              <w:rPr>
                <w:rFonts w:hint="default" w:ascii="Times New Roman" w:hAnsi="Times New Roman" w:cs="Times New Roman"/>
                <w:b w:val="0"/>
                <w:bCs/>
                <w:szCs w:val="24"/>
                <w:vertAlign w:val="baseline"/>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任一层面积在1500平方米以上或</w:t>
            </w:r>
            <w:r>
              <w:rPr>
                <w:rFonts w:hint="default" w:ascii="Times New Roman" w:hAnsi="Times New Roman" w:eastAsia="仿宋_GB2312" w:cs="Times New Roman"/>
                <w:b w:val="0"/>
                <w:bCs/>
                <w:color w:val="000000"/>
                <w:szCs w:val="24"/>
                <w:lang w:val="en-US" w:eastAsia="zh-CN"/>
              </w:rPr>
              <w:t>者</w:t>
            </w:r>
            <w:r>
              <w:rPr>
                <w:rFonts w:hint="default" w:ascii="Times New Roman" w:hAnsi="Times New Roman" w:eastAsia="仿宋_GB2312" w:cs="Times New Roman"/>
                <w:b w:val="0"/>
                <w:bCs/>
                <w:color w:val="000000"/>
                <w:szCs w:val="24"/>
              </w:rPr>
              <w:t>总建筑面积在3000平方米以上的不具有娱乐功能的餐饮场所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ind w:left="210" w:hanging="210" w:hangingChars="100"/>
              <w:jc w:val="left"/>
              <w:rPr>
                <w:rFonts w:hint="default" w:ascii="Times New Roman" w:hAnsi="Times New Roman" w:cs="Times New Roman"/>
                <w:b w:val="0"/>
                <w:bCs/>
                <w:szCs w:val="24"/>
                <w:vertAlign w:val="baseline"/>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建筑面积在3000平方米以上的客运车站候车室、客运码头候船厅、民用机场航站楼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观众席在20000座以上的公共体育场</w:t>
            </w:r>
          </w:p>
          <w:p>
            <w:pPr>
              <w:jc w:val="left"/>
              <w:rPr>
                <w:rFonts w:hint="default" w:ascii="Times New Roman" w:hAnsi="Times New Roman" w:eastAsia="仿宋_GB2312" w:cs="Times New Roman"/>
                <w:b w:val="0"/>
                <w:bCs/>
                <w:color w:val="000000"/>
                <w:szCs w:val="24"/>
                <w:lang w:val="en-US" w:eastAsia="zh-CN"/>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观众席在3000座以上的公共体育馆</w:t>
            </w:r>
            <w:r>
              <w:rPr>
                <w:rFonts w:hint="default" w:ascii="Times New Roman" w:hAnsi="Times New Roman" w:eastAsia="仿宋_GB2312" w:cs="Times New Roman"/>
                <w:b w:val="0"/>
                <w:bCs/>
                <w:color w:val="000000"/>
                <w:szCs w:val="24"/>
                <w:lang w:val="en-US" w:eastAsia="zh-CN"/>
              </w:rPr>
              <w:t xml:space="preserve">     </w:t>
            </w:r>
          </w:p>
          <w:p>
            <w:pPr>
              <w:jc w:val="left"/>
              <w:rPr>
                <w:rFonts w:hint="default" w:ascii="Times New Roman" w:hAnsi="Times New Roman" w:cs="Times New Roman"/>
                <w:b w:val="0"/>
                <w:bCs/>
                <w:szCs w:val="24"/>
                <w:vertAlign w:val="baseline"/>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座位数大于2000个的公共会堂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cs="Times New Roman"/>
                <w:b w:val="0"/>
                <w:bCs/>
                <w:szCs w:val="24"/>
                <w:vertAlign w:val="baseline"/>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建筑面积在500平方米以上的公共娱乐场所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restart"/>
            <w:vAlign w:val="center"/>
          </w:tcPr>
          <w:p>
            <w:pPr>
              <w:adjustRightInd w:val="0"/>
              <w:snapToGrid w:val="0"/>
              <w:spacing w:line="264" w:lineRule="auto"/>
              <w:jc w:val="center"/>
              <w:rPr>
                <w:rFonts w:hint="default" w:ascii="Times New Roman" w:hAnsi="Times New Roman" w:eastAsia="仿宋_GB2312" w:cs="Times New Roman"/>
                <w:b w:val="0"/>
                <w:bCs/>
                <w:color w:val="000000"/>
                <w:szCs w:val="24"/>
                <w:lang w:val="en-US" w:eastAsia="zh-CN"/>
              </w:rPr>
            </w:pPr>
            <w:r>
              <w:rPr>
                <w:rFonts w:hint="default" w:ascii="Times New Roman" w:hAnsi="Times New Roman" w:eastAsia="仿宋_GB2312" w:cs="Times New Roman"/>
                <w:b w:val="0"/>
                <w:bCs/>
                <w:color w:val="000000"/>
                <w:szCs w:val="24"/>
                <w:lang w:eastAsia="zh-CN"/>
              </w:rPr>
              <w:t>医院、</w:t>
            </w:r>
            <w:r>
              <w:rPr>
                <w:rFonts w:hint="default" w:ascii="Times New Roman" w:hAnsi="Times New Roman" w:eastAsia="仿宋_GB2312" w:cs="Times New Roman"/>
                <w:b w:val="0"/>
                <w:bCs/>
                <w:color w:val="000000"/>
                <w:szCs w:val="24"/>
                <w:lang w:val="en-US" w:eastAsia="zh-CN"/>
              </w:rPr>
              <w:t>养老机构和</w:t>
            </w:r>
          </w:p>
          <w:p>
            <w:pPr>
              <w:adjustRightInd w:val="0"/>
              <w:snapToGrid w:val="0"/>
              <w:spacing w:line="264" w:lineRule="auto"/>
              <w:jc w:val="center"/>
              <w:rPr>
                <w:rFonts w:hint="default" w:ascii="Times New Roman" w:hAnsi="Times New Roman" w:eastAsia="宋体" w:cs="Times New Roman"/>
                <w:b w:val="0"/>
                <w:bCs/>
                <w:szCs w:val="24"/>
                <w:vertAlign w:val="baseline"/>
                <w:lang w:val="en-US" w:eastAsia="zh-CN"/>
              </w:rPr>
            </w:pPr>
            <w:r>
              <w:rPr>
                <w:rFonts w:hint="default" w:ascii="Times New Roman" w:hAnsi="Times New Roman" w:eastAsia="仿宋_GB2312" w:cs="Times New Roman"/>
                <w:b w:val="0"/>
                <w:bCs/>
                <w:color w:val="000000"/>
                <w:szCs w:val="24"/>
                <w:lang w:val="en-US" w:eastAsia="zh-CN"/>
              </w:rPr>
              <w:t>学校、托儿所、幼儿园</w:t>
            </w: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床位数在100张以上的医院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老人住宿床位在50张以上的养老机构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有4个班以上的托儿所</w:t>
            </w:r>
            <w:r>
              <w:rPr>
                <w:rFonts w:hint="default" w:ascii="Times New Roman" w:hAnsi="Times New Roman" w:eastAsia="仿宋_GB2312" w:cs="Times New Roman"/>
                <w:b w:val="0"/>
                <w:bCs/>
                <w:color w:val="000000"/>
                <w:szCs w:val="24"/>
                <w:lang w:val="en-US" w:eastAsia="zh-CN"/>
              </w:rPr>
              <w:t xml:space="preserve">       </w:t>
            </w: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有5个班以上的幼儿园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eastAsia="仿宋_GB2312" w:cs="Times New Roman"/>
                <w:b w:val="0"/>
                <w:bCs/>
                <w:color w:val="000000"/>
                <w:szCs w:val="24"/>
                <w:lang w:val="en-US" w:eastAsia="zh-CN"/>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学生床位在100张以上的小学学校</w:t>
            </w:r>
            <w:r>
              <w:rPr>
                <w:rFonts w:hint="default" w:ascii="Times New Roman" w:hAnsi="Times New Roman" w:eastAsia="仿宋_GB2312" w:cs="Times New Roman"/>
                <w:b w:val="0"/>
                <w:bCs/>
                <w:color w:val="000000"/>
                <w:szCs w:val="24"/>
                <w:lang w:val="en-US" w:eastAsia="zh-CN"/>
              </w:rPr>
              <w:t xml:space="preserve">  </w:t>
            </w:r>
          </w:p>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学生床位在200张以上的其他学校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eastAsia="仿宋_GB2312" w:cs="Times New Roman"/>
                <w:b w:val="0"/>
                <w:bCs/>
                <w:color w:val="000000"/>
                <w:szCs w:val="24"/>
                <w:lang w:val="en-US" w:eastAsia="zh-CN"/>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200人以上的非寄宿制特殊教育学校</w:t>
            </w:r>
            <w:r>
              <w:rPr>
                <w:rFonts w:hint="default" w:ascii="Times New Roman" w:hAnsi="Times New Roman" w:eastAsia="仿宋_GB2312" w:cs="Times New Roman"/>
                <w:b w:val="0"/>
                <w:bCs/>
                <w:color w:val="000000"/>
                <w:szCs w:val="24"/>
                <w:lang w:val="en-US" w:eastAsia="zh-CN"/>
              </w:rPr>
              <w:t xml:space="preserve">   </w:t>
            </w:r>
          </w:p>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1000人以上的其他非寄宿制学校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restart"/>
            <w:vAlign w:val="center"/>
          </w:tcPr>
          <w:p>
            <w:pPr>
              <w:jc w:val="center"/>
              <w:rPr>
                <w:rFonts w:hint="default" w:ascii="Times New Roman" w:hAnsi="Times New Roman" w:eastAsia="宋体" w:cs="Times New Roman"/>
                <w:b w:val="0"/>
                <w:bCs/>
                <w:szCs w:val="24"/>
                <w:vertAlign w:val="baseline"/>
                <w:lang w:eastAsia="zh-CN"/>
              </w:rPr>
            </w:pPr>
            <w:r>
              <w:rPr>
                <w:rFonts w:hint="default" w:ascii="Times New Roman" w:hAnsi="Times New Roman" w:eastAsia="仿宋_GB2312" w:cs="Times New Roman"/>
                <w:b w:val="0"/>
                <w:bCs/>
                <w:color w:val="000000"/>
                <w:szCs w:val="24"/>
                <w:lang w:val="en-US" w:eastAsia="zh-CN"/>
              </w:rPr>
              <w:t>国家机关</w:t>
            </w: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县级以上党委、人大、政府、政协机关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县级以上监察委员会、人民法院和人民检察院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Align w:val="center"/>
          </w:tcPr>
          <w:p>
            <w:pPr>
              <w:jc w:val="center"/>
              <w:rPr>
                <w:rFonts w:hint="default" w:ascii="Times New Roman" w:hAnsi="Times New Roman" w:cs="Times New Roman"/>
                <w:b w:val="0"/>
                <w:bCs/>
                <w:szCs w:val="24"/>
                <w:vertAlign w:val="baseline"/>
              </w:rPr>
            </w:pPr>
            <w:r>
              <w:rPr>
                <w:rFonts w:hint="default" w:ascii="Times New Roman" w:hAnsi="Times New Roman" w:eastAsia="仿宋_GB2312" w:cs="Times New Roman"/>
                <w:b w:val="0"/>
                <w:bCs/>
                <w:color w:val="000000"/>
                <w:szCs w:val="24"/>
              </w:rPr>
              <w:t>广播电视台和县级以上邮政通信枢纽、数据中心</w:t>
            </w: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广播电视台</w:t>
            </w:r>
            <w:r>
              <w:rPr>
                <w:rFonts w:hint="default" w:ascii="Times New Roman" w:hAnsi="Times New Roman" w:eastAsia="仿宋_GB2312" w:cs="Times New Roman"/>
                <w:b w:val="0"/>
                <w:bCs/>
                <w:color w:val="000000"/>
                <w:szCs w:val="24"/>
                <w:lang w:val="en-US" w:eastAsia="zh-CN"/>
              </w:rPr>
              <w:t xml:space="preserve">      </w:t>
            </w: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县级以上邮政、通信枢纽、数据中心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restart"/>
            <w:vAlign w:val="center"/>
          </w:tcPr>
          <w:p>
            <w:pPr>
              <w:jc w:val="center"/>
              <w:rPr>
                <w:rFonts w:hint="default" w:ascii="Times New Roman" w:hAnsi="Times New Roman" w:cs="Times New Roman"/>
                <w:b w:val="0"/>
                <w:bCs/>
                <w:szCs w:val="24"/>
                <w:vertAlign w:val="baseline"/>
              </w:rPr>
            </w:pPr>
            <w:r>
              <w:rPr>
                <w:rFonts w:hint="default" w:ascii="Times New Roman" w:hAnsi="Times New Roman" w:eastAsia="仿宋_GB2312" w:cs="Times New Roman"/>
                <w:b w:val="0"/>
                <w:bCs/>
                <w:color w:val="000000"/>
                <w:szCs w:val="24"/>
                <w:lang w:eastAsia="zh-CN"/>
              </w:rPr>
              <w:t>公共图书馆、展览馆、博物馆、档案馆、具有</w:t>
            </w:r>
            <w:r>
              <w:rPr>
                <w:rFonts w:hint="default" w:ascii="Times New Roman" w:hAnsi="Times New Roman" w:eastAsia="仿宋_GB2312" w:cs="Times New Roman"/>
                <w:b w:val="0"/>
                <w:bCs/>
                <w:color w:val="000000"/>
                <w:szCs w:val="24"/>
                <w:lang w:val="en-US" w:eastAsia="zh-CN"/>
              </w:rPr>
              <w:t>火灾危险性的文物保护单位宗教活动场所</w:t>
            </w:r>
          </w:p>
        </w:tc>
        <w:tc>
          <w:tcPr>
            <w:tcW w:w="6368" w:type="dxa"/>
            <w:gridSpan w:val="4"/>
            <w:vAlign w:val="center"/>
          </w:tcPr>
          <w:p>
            <w:pPr>
              <w:jc w:val="left"/>
              <w:rPr>
                <w:rFonts w:hint="default" w:ascii="Times New Roman" w:hAnsi="Times New Roman" w:eastAsia="仿宋_GB2312" w:cs="Times New Roman"/>
                <w:b w:val="0"/>
                <w:bCs/>
                <w:color w:val="000000"/>
                <w:szCs w:val="24"/>
                <w:lang w:val="en-US" w:eastAsia="zh-CN"/>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藏书50万册以上的公共图书馆</w:t>
            </w:r>
            <w:r>
              <w:rPr>
                <w:rFonts w:hint="default" w:ascii="Times New Roman" w:hAnsi="Times New Roman" w:eastAsia="仿宋_GB2312" w:cs="Times New Roman"/>
                <w:b w:val="0"/>
                <w:bCs/>
                <w:color w:val="000000"/>
                <w:szCs w:val="24"/>
                <w:lang w:val="en-US" w:eastAsia="zh-CN"/>
              </w:rPr>
              <w:t xml:space="preserve">  </w:t>
            </w:r>
          </w:p>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展览面积在10000平方米以上的展览馆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三级以上博物馆，国家档案馆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具有火灾危险性的省级以上文物保护单位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ind w:left="210" w:hanging="210" w:hangingChars="100"/>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宗教教职人员在50人以上或者建筑面积在5000平方米以上，且属于县级以上文物保护单位的宗教活动场所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restart"/>
            <w:vAlign w:val="center"/>
          </w:tcPr>
          <w:p>
            <w:pPr>
              <w:jc w:val="center"/>
              <w:rPr>
                <w:rFonts w:hint="default" w:ascii="Times New Roman" w:hAnsi="Times New Roman" w:cs="Times New Roman"/>
                <w:b w:val="0"/>
                <w:bCs/>
                <w:szCs w:val="24"/>
                <w:vertAlign w:val="baseline"/>
              </w:rPr>
            </w:pPr>
            <w:r>
              <w:rPr>
                <w:rFonts w:hint="default" w:ascii="Times New Roman" w:hAnsi="Times New Roman" w:eastAsia="仿宋_GB2312" w:cs="Times New Roman"/>
                <w:b w:val="0"/>
                <w:bCs/>
                <w:color w:val="000000"/>
                <w:szCs w:val="24"/>
                <w:lang w:val="en-US" w:eastAsia="zh-CN"/>
              </w:rPr>
              <w:t>发电厂和电网经营企业、储能电站</w:t>
            </w: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大型发电厂（站），500KV及以上变电站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县级以上电网经营企业、承担电力调度功能的供电单位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功率30MW或</w:t>
            </w:r>
            <w:r>
              <w:rPr>
                <w:rFonts w:hint="default" w:ascii="Times New Roman" w:hAnsi="Times New Roman" w:eastAsia="仿宋_GB2312" w:cs="Times New Roman"/>
                <w:b w:val="0"/>
                <w:bCs/>
                <w:color w:val="000000"/>
                <w:szCs w:val="24"/>
                <w:lang w:val="en-US" w:eastAsia="zh-CN"/>
              </w:rPr>
              <w:t>者</w:t>
            </w:r>
            <w:r>
              <w:rPr>
                <w:rFonts w:hint="default" w:ascii="Times New Roman" w:hAnsi="Times New Roman" w:eastAsia="仿宋_GB2312" w:cs="Times New Roman"/>
                <w:b w:val="0"/>
                <w:bCs/>
                <w:color w:val="000000"/>
                <w:szCs w:val="24"/>
              </w:rPr>
              <w:t>容量30MW·h以上的电化学储能电站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restart"/>
            <w:vAlign w:val="center"/>
          </w:tcPr>
          <w:p>
            <w:pPr>
              <w:jc w:val="center"/>
              <w:rPr>
                <w:rFonts w:hint="default" w:ascii="Times New Roman" w:hAnsi="Times New Roman" w:cs="Times New Roman"/>
                <w:b w:val="0"/>
                <w:bCs/>
                <w:szCs w:val="24"/>
                <w:vertAlign w:val="baseline"/>
              </w:rPr>
            </w:pPr>
            <w:r>
              <w:rPr>
                <w:rFonts w:hint="default" w:ascii="Times New Roman" w:hAnsi="Times New Roman" w:eastAsia="仿宋_GB2312" w:cs="Times New Roman"/>
                <w:b w:val="0"/>
                <w:bCs/>
                <w:color w:val="000000"/>
                <w:szCs w:val="24"/>
              </w:rPr>
              <w:t>易燃易爆化学物品的生产、充装、储存、供应、销售单位</w:t>
            </w: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生产、储存易燃易爆化学物品的工厂、专用仓库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易燃易爆气体和液体的充装站、调压站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营业性汽车加油加气加氢站、液化石油气供应站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建筑面积在300平方米以上的经营易燃易爆化学物品的商店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Align w:val="center"/>
          </w:tcPr>
          <w:p>
            <w:pPr>
              <w:jc w:val="center"/>
              <w:rPr>
                <w:rFonts w:hint="default" w:ascii="Times New Roman" w:hAnsi="Times New Roman" w:cs="Times New Roman"/>
                <w:b w:val="0"/>
                <w:bCs/>
                <w:szCs w:val="24"/>
                <w:vertAlign w:val="baseline"/>
              </w:rPr>
            </w:pPr>
            <w:r>
              <w:rPr>
                <w:rFonts w:hint="default" w:ascii="Times New Roman" w:hAnsi="Times New Roman" w:eastAsia="仿宋_GB2312" w:cs="Times New Roman"/>
                <w:b w:val="0"/>
                <w:bCs/>
                <w:color w:val="000000"/>
                <w:szCs w:val="24"/>
              </w:rPr>
              <w:t>生产、加工企业</w:t>
            </w: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企业员工总数在1000人以上</w:t>
            </w:r>
          </w:p>
          <w:p>
            <w:pPr>
              <w:ind w:left="210" w:hanging="210" w:hangingChars="100"/>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同一建筑在同一时间的使用人数在300人以上的服装、鞋帽、玩具、木制品、家具、塑料、食品加工和纺织、印染、电子、印刷等劳动密集型企业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Align w:val="center"/>
          </w:tcPr>
          <w:p>
            <w:pPr>
              <w:jc w:val="center"/>
              <w:rPr>
                <w:rFonts w:hint="default" w:ascii="Times New Roman" w:hAnsi="Times New Roman" w:cs="Times New Roman"/>
                <w:b w:val="0"/>
                <w:bCs/>
                <w:szCs w:val="24"/>
                <w:vertAlign w:val="baseline"/>
              </w:rPr>
            </w:pPr>
            <w:r>
              <w:rPr>
                <w:rFonts w:hint="default" w:ascii="Times New Roman" w:hAnsi="Times New Roman" w:eastAsia="仿宋_GB2312" w:cs="Times New Roman"/>
                <w:b w:val="0"/>
                <w:bCs/>
                <w:color w:val="000000"/>
                <w:szCs w:val="24"/>
              </w:rPr>
              <w:t>国家和省级科研单位、国家实验室、全国重点实验室</w:t>
            </w: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国家和省级科研单位、国家实验室、全国重点实验室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restart"/>
            <w:vAlign w:val="center"/>
          </w:tcPr>
          <w:p>
            <w:pPr>
              <w:jc w:val="center"/>
              <w:rPr>
                <w:rFonts w:hint="default" w:ascii="Times New Roman" w:hAnsi="Times New Roman" w:cs="Times New Roman"/>
                <w:b w:val="0"/>
                <w:bCs/>
                <w:szCs w:val="24"/>
                <w:vertAlign w:val="baseline"/>
              </w:rPr>
            </w:pPr>
            <w:r>
              <w:rPr>
                <w:rFonts w:hint="default" w:ascii="Times New Roman" w:hAnsi="Times New Roman" w:eastAsia="仿宋_GB2312" w:cs="Times New Roman"/>
                <w:b w:val="0"/>
                <w:bCs/>
                <w:color w:val="000000"/>
                <w:szCs w:val="24"/>
              </w:rPr>
              <w:t>其他发生火灾可能性较大以及一旦发生火灾可能造成人身重大伤亡或者财产重大损失的单位和场所</w:t>
            </w:r>
          </w:p>
        </w:tc>
        <w:tc>
          <w:tcPr>
            <w:tcW w:w="6368" w:type="dxa"/>
            <w:gridSpan w:val="4"/>
            <w:vAlign w:val="center"/>
          </w:tcPr>
          <w:p>
            <w:pPr>
              <w:ind w:left="210" w:hanging="210" w:hangingChars="100"/>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停车数量在300辆以上或者建筑面积大于10000平方米独立建造的经营性汽车库</w:t>
            </w:r>
          </w:p>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车位数大于60个或者建筑面积大于3000平方米的修车库</w:t>
            </w:r>
          </w:p>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停车数量在200辆以上的公交车、客车停车场</w:t>
            </w:r>
          </w:p>
          <w:p>
            <w:pPr>
              <w:ind w:left="210" w:hanging="210" w:hangingChars="100"/>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室内集中布置充电设备且建筑面积在1000平方米以上的电动汽车充电站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eastAsia="仿宋_GB2312" w:cs="Times New Roman"/>
                <w:b w:val="0"/>
                <w:bCs/>
                <w:color w:val="000000"/>
                <w:szCs w:val="24"/>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固定资产（建筑、设备、原材料等）价值在2亿元以上的工业企业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eastAsia="仿宋_GB2312" w:cs="Times New Roman"/>
                <w:b w:val="0"/>
                <w:bCs/>
                <w:color w:val="000000"/>
                <w:szCs w:val="24"/>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央行、商业银行的分行级以上分支机构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eastAsia="仿宋_GB2312" w:cs="Times New Roman"/>
                <w:b w:val="0"/>
                <w:bCs/>
                <w:color w:val="000000"/>
                <w:szCs w:val="24"/>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建筑面积在50000平方米以上的大型商业综合体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2" w:type="dxa"/>
            <w:vMerge w:val="continue"/>
            <w:vAlign w:val="center"/>
          </w:tcPr>
          <w:p>
            <w:pPr>
              <w:jc w:val="center"/>
              <w:rPr>
                <w:rFonts w:hint="default" w:ascii="Times New Roman" w:hAnsi="Times New Roman" w:eastAsia="仿宋_GB2312" w:cs="Times New Roman"/>
                <w:b w:val="0"/>
                <w:bCs/>
                <w:color w:val="000000"/>
                <w:szCs w:val="24"/>
              </w:rPr>
            </w:pPr>
          </w:p>
        </w:tc>
        <w:tc>
          <w:tcPr>
            <w:tcW w:w="1512" w:type="dxa"/>
            <w:gridSpan w:val="2"/>
            <w:vMerge w:val="continue"/>
            <w:vAlign w:val="center"/>
          </w:tcPr>
          <w:p>
            <w:pPr>
              <w:jc w:val="center"/>
              <w:rPr>
                <w:rFonts w:hint="default" w:ascii="Times New Roman" w:hAnsi="Times New Roman" w:cs="Times New Roman"/>
                <w:b w:val="0"/>
                <w:bCs/>
                <w:szCs w:val="24"/>
                <w:vertAlign w:val="baseline"/>
              </w:rPr>
            </w:pPr>
          </w:p>
        </w:tc>
        <w:tc>
          <w:tcPr>
            <w:tcW w:w="6368" w:type="dxa"/>
            <w:gridSpan w:val="4"/>
            <w:vAlign w:val="center"/>
          </w:tcPr>
          <w:p>
            <w:pPr>
              <w:jc w:val="left"/>
              <w:rPr>
                <w:rFonts w:hint="default" w:ascii="Times New Roman" w:hAnsi="Times New Roman" w:eastAsia="仿宋_GB2312" w:cs="Times New Roman"/>
                <w:b w:val="0"/>
                <w:bCs/>
                <w:color w:val="000000"/>
                <w:szCs w:val="24"/>
              </w:rPr>
            </w:pPr>
            <w:r>
              <w:rPr>
                <w:rFonts w:hint="eastAsia"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城市轨道交通换乘站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8522" w:type="dxa"/>
            <w:gridSpan w:val="7"/>
            <w:vAlign w:val="center"/>
          </w:tcPr>
          <w:p>
            <w:pPr>
              <w:adjustRightInd w:val="0"/>
              <w:snapToGrid w:val="0"/>
              <w:spacing w:line="264" w:lineRule="auto"/>
              <w:ind w:firstLine="420"/>
              <w:rPr>
                <w:rFonts w:hint="default" w:ascii="Times New Roman" w:hAnsi="Times New Roman" w:eastAsia="仿宋_GB2312" w:cs="Times New Roman"/>
                <w:b w:val="0"/>
                <w:bCs/>
                <w:color w:val="000000"/>
                <w:szCs w:val="24"/>
              </w:rPr>
            </w:pPr>
            <w:r>
              <w:rPr>
                <w:rFonts w:hint="default" w:ascii="Times New Roman" w:hAnsi="Times New Roman" w:eastAsia="仿宋_GB2312" w:cs="Times New Roman"/>
                <w:b w:val="0"/>
                <w:bCs/>
                <w:color w:val="000000"/>
                <w:szCs w:val="24"/>
              </w:rPr>
              <w:t>根据《机关、团体、企业、事业单位消防安全管理规定》和《四川省消防安全重点单位界定标准</w:t>
            </w:r>
            <w:r>
              <w:rPr>
                <w:rFonts w:hint="default"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lang w:val="en-US" w:eastAsia="zh-CN"/>
              </w:rPr>
              <w:t>试行</w:t>
            </w:r>
            <w:r>
              <w:rPr>
                <w:rFonts w:hint="default" w:ascii="Times New Roman" w:hAnsi="Times New Roman" w:eastAsia="仿宋_GB2312" w:cs="Times New Roman"/>
                <w:b w:val="0"/>
                <w:bCs/>
                <w:color w:val="000000"/>
                <w:szCs w:val="24"/>
                <w:lang w:eastAsia="zh-CN"/>
              </w:rPr>
              <w:t>）</w:t>
            </w:r>
            <w:r>
              <w:rPr>
                <w:rFonts w:hint="default" w:ascii="Times New Roman" w:hAnsi="Times New Roman" w:eastAsia="仿宋_GB2312" w:cs="Times New Roman"/>
                <w:b w:val="0"/>
                <w:bCs/>
                <w:color w:val="000000"/>
                <w:szCs w:val="24"/>
              </w:rPr>
              <w:t>》，我单位属重消防安全点单位范围，现申报为市级消防安全重点单位。</w:t>
            </w:r>
          </w:p>
          <w:p>
            <w:pPr>
              <w:adjustRightInd w:val="0"/>
              <w:snapToGrid w:val="0"/>
              <w:spacing w:line="264" w:lineRule="auto"/>
              <w:ind w:firstLine="420"/>
              <w:rPr>
                <w:rFonts w:hint="default" w:ascii="Times New Roman" w:hAnsi="Times New Roman" w:eastAsia="仿宋_GB2312" w:cs="Times New Roman"/>
                <w:b w:val="0"/>
                <w:bCs/>
                <w:color w:val="000000"/>
                <w:szCs w:val="24"/>
              </w:rPr>
            </w:pPr>
          </w:p>
          <w:p>
            <w:pPr>
              <w:adjustRightInd w:val="0"/>
              <w:snapToGrid w:val="0"/>
              <w:spacing w:line="264" w:lineRule="auto"/>
              <w:ind w:firstLine="420"/>
              <w:jc w:val="center"/>
              <w:rPr>
                <w:rFonts w:hint="default" w:ascii="Times New Roman" w:hAnsi="Times New Roman" w:eastAsia="仿宋_GB2312" w:cs="Times New Roman"/>
                <w:b w:val="0"/>
                <w:bCs/>
                <w:color w:val="000000"/>
                <w:szCs w:val="24"/>
              </w:rPr>
            </w:pPr>
          </w:p>
          <w:p>
            <w:pPr>
              <w:adjustRightInd w:val="0"/>
              <w:snapToGrid w:val="0"/>
              <w:spacing w:line="264" w:lineRule="auto"/>
              <w:ind w:firstLine="420"/>
              <w:rPr>
                <w:rFonts w:hint="default" w:ascii="Times New Roman" w:hAnsi="Times New Roman" w:eastAsia="仿宋_GB2312" w:cs="Times New Roman"/>
                <w:b w:val="0"/>
                <w:bCs/>
                <w:color w:val="000000"/>
                <w:szCs w:val="24"/>
              </w:rPr>
            </w:pPr>
            <w:r>
              <w:rPr>
                <w:rFonts w:hint="default" w:ascii="Times New Roman" w:hAnsi="Times New Roman" w:eastAsia="仿宋_GB2312" w:cs="Times New Roman"/>
                <w:b w:val="0"/>
                <w:bCs/>
                <w:color w:val="000000"/>
                <w:szCs w:val="24"/>
              </w:rPr>
              <w:t xml:space="preserve">                                               单位（盖章）</w:t>
            </w:r>
          </w:p>
          <w:p>
            <w:pPr>
              <w:adjustRightInd w:val="0"/>
              <w:snapToGrid w:val="0"/>
              <w:spacing w:line="264" w:lineRule="auto"/>
              <w:ind w:firstLine="420"/>
              <w:rPr>
                <w:rFonts w:hint="default" w:ascii="Times New Roman" w:hAnsi="Times New Roman" w:eastAsia="仿宋_GB2312" w:cs="Times New Roman"/>
                <w:b w:val="0"/>
                <w:bCs/>
                <w:color w:val="000000"/>
                <w:szCs w:val="24"/>
              </w:rPr>
            </w:pPr>
            <w:r>
              <w:rPr>
                <w:rFonts w:hint="default" w:ascii="Times New Roman" w:hAnsi="Times New Roman" w:eastAsia="仿宋_GB2312" w:cs="Times New Roman"/>
                <w:b w:val="0"/>
                <w:bCs/>
                <w:color w:val="000000"/>
                <w:szCs w:val="24"/>
              </w:rPr>
              <w:t xml:space="preserve">                 </w:t>
            </w:r>
            <w:r>
              <w:rPr>
                <w:rFonts w:hint="eastAsia" w:ascii="Times New Roman" w:hAnsi="Times New Roman" w:eastAsia="仿宋_GB2312" w:cs="Times New Roman"/>
                <w:b w:val="0"/>
                <w:bCs/>
                <w:color w:val="000000"/>
                <w:szCs w:val="24"/>
                <w:lang w:val="en-US" w:eastAsia="zh-CN"/>
              </w:rPr>
              <w:t xml:space="preserve">           </w:t>
            </w:r>
            <w:r>
              <w:rPr>
                <w:rFonts w:hint="default" w:ascii="Times New Roman" w:hAnsi="Times New Roman" w:eastAsia="仿宋_GB2312" w:cs="Times New Roman"/>
                <w:b w:val="0"/>
                <w:bCs/>
                <w:color w:val="000000"/>
                <w:szCs w:val="24"/>
              </w:rPr>
              <w:t xml:space="preserve">法定代表人（签名）： </w:t>
            </w:r>
          </w:p>
          <w:p>
            <w:pPr>
              <w:ind w:firstLine="5250" w:firstLineChars="2500"/>
              <w:jc w:val="left"/>
              <w:rPr>
                <w:rFonts w:hint="default" w:ascii="Times New Roman" w:hAnsi="Times New Roman" w:eastAsia="仿宋_GB2312" w:cs="Times New Roman"/>
                <w:b w:val="0"/>
                <w:bCs/>
                <w:color w:val="000000"/>
                <w:szCs w:val="24"/>
              </w:rPr>
            </w:pPr>
            <w:r>
              <w:rPr>
                <w:rFonts w:hint="default" w:ascii="Times New Roman" w:hAnsi="Times New Roman" w:eastAsia="仿宋_GB2312" w:cs="Times New Roman"/>
                <w:b w:val="0"/>
                <w:bCs/>
                <w:szCs w:val="24"/>
              </w:rPr>
              <w:t>2024年 月 日</w:t>
            </w:r>
          </w:p>
        </w:tc>
      </w:tr>
    </w:tbl>
    <w:p>
      <w:pPr>
        <w:rPr>
          <w:rFonts w:hint="eastAsia" w:ascii="Times New Roman" w:hAnsi="Times New Roman"/>
          <w:szCs w:val="24"/>
        </w:rPr>
      </w:pPr>
      <w:r>
        <w:rPr>
          <w:rFonts w:hint="eastAsia" w:ascii="Times New Roman" w:hAnsi="Times New Roman"/>
          <w:szCs w:val="24"/>
        </w:rPr>
        <w:t>注： 1、各单位自行对照，并在申报单位属性栏内选择一项打“</w:t>
      </w:r>
      <w:r>
        <w:rPr>
          <w:rFonts w:hint="eastAsia" w:ascii="宋体" w:hAnsi="Times New Roman"/>
          <w:szCs w:val="24"/>
        </w:rPr>
        <w:t>√</w:t>
      </w:r>
      <w:r>
        <w:rPr>
          <w:rFonts w:hint="eastAsia" w:ascii="Times New Roman" w:hAnsi="Times New Roman"/>
          <w:szCs w:val="24"/>
        </w:rPr>
        <w:t>”。</w:t>
      </w:r>
    </w:p>
    <w:p>
      <w:pPr>
        <w:numPr>
          <w:ilvl w:val="0"/>
          <w:numId w:val="0"/>
        </w:numPr>
        <w:spacing w:line="300" w:lineRule="exact"/>
        <w:ind w:left="315" w:leftChars="150" w:firstLine="210" w:firstLineChars="100"/>
        <w:rPr>
          <w:rFonts w:hint="eastAsia" w:ascii="宋体" w:hAnsi="宋体" w:eastAsia="宋体" w:cs="宋体"/>
          <w:szCs w:val="24"/>
          <w:lang w:eastAsia="zh-CN"/>
        </w:rPr>
      </w:pPr>
      <w:r>
        <w:rPr>
          <w:rFonts w:hint="eastAsia" w:ascii="宋体" w:hAnsi="宋体" w:eastAsia="宋体" w:cs="宋体"/>
          <w:kern w:val="2"/>
          <w:sz w:val="21"/>
          <w:szCs w:val="24"/>
          <w:lang w:val="en-US" w:eastAsia="zh-CN" w:bidi="ar-SA"/>
        </w:rPr>
        <w:t>2、</w:t>
      </w:r>
      <w:r>
        <w:rPr>
          <w:rFonts w:hint="eastAsia" w:ascii="Times New Roman" w:hAnsi="Times New Roman"/>
          <w:szCs w:val="24"/>
        </w:rPr>
        <w:t>公共娱乐场所是指公众开放的下列室内场所：（1）影剧院、录像厅、礼堂等演出、放映场所；（2）舞厅、卡拉OK等歌舞娱乐场所；（3）具有娱乐功能的夜总会、音乐茶座和餐饮场所；（4）游艺、游乐场所；（5、）保龄球馆、旱冰场、桑拿浴室等营业性健身、休闲场所</w:t>
      </w:r>
      <w:r>
        <w:rPr>
          <w:rFonts w:hint="eastAsia" w:ascii="宋体" w:hAnsi="宋体" w:eastAsia="宋体" w:cs="宋体"/>
          <w:szCs w:val="24"/>
          <w:lang w:eastAsia="zh-CN"/>
        </w:rPr>
        <w:t>。</w:t>
      </w:r>
    </w:p>
    <w:p>
      <w:pPr>
        <w:numPr>
          <w:ilvl w:val="0"/>
          <w:numId w:val="0"/>
        </w:numPr>
        <w:spacing w:line="300" w:lineRule="exact"/>
        <w:ind w:left="315" w:leftChars="150" w:firstLine="210" w:firstLineChars="100"/>
        <w:rPr>
          <w:rFonts w:ascii="Times New Roman" w:hAnsi="Times New Roman" w:eastAsia="方正小标宋_GBK"/>
          <w:b/>
          <w:sz w:val="44"/>
          <w:szCs w:val="44"/>
        </w:rPr>
      </w:pPr>
      <w:r>
        <w:rPr>
          <w:rFonts w:hint="eastAsia" w:ascii="Times New Roman" w:hAnsi="Times New Roman"/>
          <w:szCs w:val="24"/>
          <w:lang w:val="en-US" w:eastAsia="zh-CN"/>
        </w:rPr>
        <w:t>3、</w:t>
      </w:r>
      <w:r>
        <w:rPr>
          <w:rFonts w:hint="eastAsia" w:ascii="Times New Roman" w:hAnsi="Times New Roman"/>
          <w:szCs w:val="24"/>
        </w:rPr>
        <w:t>若要打印</w:t>
      </w:r>
      <w:r>
        <w:rPr>
          <w:rFonts w:hint="eastAsia" w:ascii="宋体" w:hAnsi="宋体" w:eastAsia="宋体" w:cs="宋体"/>
          <w:b w:val="0"/>
          <w:bCs/>
          <w:color w:val="000000"/>
          <w:szCs w:val="24"/>
        </w:rPr>
        <w:t>此表，请双面打印在1张A4纸上。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MTQ0NmEwZGQ4M2E4MDQ1NGI1OWEzNWE1ZGI3OGQifQ=="/>
  </w:docVars>
  <w:rsids>
    <w:rsidRoot w:val="00000000"/>
    <w:rsid w:val="70A40517"/>
    <w:rsid w:val="772E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2024-08-22T07:34:00Z</dcterms:created>
  <dc:creator>admin</dc:creator>
  <cp:lastModifiedBy>Mr. CG</cp:lastModifiedBy>
  <dcterms:modified xsi:type="dcterms:W3CDTF">2024-08-23T08:04:05Z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B8447B18AD2E4FAF8CF36FBEACAAEE5C_12</vt:lpwstr>
  </property>
</Properties>
</file>