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2944A">
      <w:pPr>
        <w:spacing w:line="560" w:lineRule="exact"/>
        <w:rPr>
          <w:rFonts w:ascii="Times New Roman" w:hAnsi="Times New Roman" w:eastAsia="方正小标宋_GBK"/>
          <w:b/>
          <w:sz w:val="44"/>
          <w:szCs w:val="44"/>
        </w:rPr>
      </w:pPr>
      <w:r>
        <w:rPr>
          <w:rFonts w:ascii="Times New Roman" w:hAnsi="黑体" w:eastAsia="黑体"/>
          <w:b/>
          <w:sz w:val="32"/>
          <w:szCs w:val="32"/>
        </w:rPr>
        <w:t>附件</w:t>
      </w:r>
      <w:r>
        <w:rPr>
          <w:rFonts w:ascii="Times New Roman" w:hAnsi="Times New Roman" w:eastAsia="黑体"/>
          <w:b/>
          <w:sz w:val="32"/>
          <w:szCs w:val="32"/>
        </w:rPr>
        <w:t>1</w:t>
      </w:r>
      <w:r>
        <w:rPr>
          <w:rFonts w:hint="eastAsia" w:ascii="Times New Roman" w:hAnsi="Times New Roman" w:eastAsia="黑体"/>
          <w:b/>
          <w:sz w:val="32"/>
          <w:szCs w:val="32"/>
        </w:rPr>
        <w:t>:</w:t>
      </w:r>
    </w:p>
    <w:p w14:paraId="7F9B674B">
      <w:pPr>
        <w:spacing w:line="560" w:lineRule="exact"/>
        <w:jc w:val="center"/>
        <w:rPr>
          <w:rFonts w:ascii="Times New Roman" w:hAnsi="Times New Roman" w:eastAsia="方正小标宋_GBK"/>
          <w:b/>
          <w:sz w:val="44"/>
          <w:szCs w:val="44"/>
        </w:rPr>
      </w:pPr>
      <w:r>
        <w:rPr>
          <w:rFonts w:ascii="Times New Roman" w:hAnsi="Times New Roman" w:eastAsia="方正小标宋_GBK"/>
          <w:b/>
          <w:sz w:val="44"/>
          <w:szCs w:val="44"/>
        </w:rPr>
        <w:t>《四川省消防安全重点单位界定标准</w:t>
      </w:r>
    </w:p>
    <w:p w14:paraId="5A05829A">
      <w:pPr>
        <w:spacing w:line="560" w:lineRule="exact"/>
        <w:jc w:val="center"/>
        <w:rPr>
          <w:rFonts w:ascii="Times New Roman" w:hAnsi="Times New Roman" w:eastAsia="方正小标宋_GBK"/>
          <w:b/>
          <w:sz w:val="44"/>
          <w:szCs w:val="44"/>
        </w:rPr>
      </w:pPr>
      <w:r>
        <w:rPr>
          <w:rFonts w:ascii="Times New Roman" w:hAnsi="Times New Roman" w:eastAsia="方正小标宋_GBK"/>
          <w:b/>
          <w:sz w:val="44"/>
          <w:szCs w:val="44"/>
        </w:rPr>
        <w:t>（试行）》</w:t>
      </w:r>
    </w:p>
    <w:p w14:paraId="54BE2D71">
      <w:pPr>
        <w:spacing w:line="560" w:lineRule="exact"/>
        <w:jc w:val="center"/>
        <w:rPr>
          <w:rFonts w:ascii="Times New Roman" w:hAnsi="Times New Roman" w:eastAsia="黑体"/>
          <w:b/>
          <w:sz w:val="32"/>
          <w:szCs w:val="32"/>
        </w:rPr>
      </w:pPr>
    </w:p>
    <w:p w14:paraId="299083EE">
      <w:pPr>
        <w:spacing w:line="560" w:lineRule="exact"/>
        <w:ind w:firstLine="643" w:firstLineChars="200"/>
        <w:rPr>
          <w:rFonts w:ascii="Times New Roman" w:hAnsi="Times New Roman" w:eastAsia="黑体"/>
          <w:b/>
          <w:sz w:val="32"/>
          <w:szCs w:val="32"/>
        </w:rPr>
      </w:pPr>
      <w:r>
        <w:rPr>
          <w:rFonts w:ascii="Times New Roman" w:hAnsi="Times New Roman" w:eastAsia="黑体"/>
          <w:b/>
          <w:sz w:val="32"/>
          <w:szCs w:val="32"/>
        </w:rPr>
        <w:t>一、公众聚集场所</w:t>
      </w:r>
    </w:p>
    <w:p w14:paraId="111CDD28">
      <w:pPr>
        <w:spacing w:line="56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（一）客房数在100间以上，以及设置于地下、半地下客房数在50间以上，或者建筑面积在3000平方米以上的旅馆。</w:t>
      </w:r>
    </w:p>
    <w:p w14:paraId="5ABCA4A1">
      <w:pPr>
        <w:spacing w:line="56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（二）建筑面积在3000平方米以上，以及设置于地下、半地下建筑面积在500平方米以上，且室内经营可燃商品的商场、集贸市场。</w:t>
      </w:r>
    </w:p>
    <w:p w14:paraId="65A13EDC">
      <w:pPr>
        <w:spacing w:line="56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成都市建筑面积在5000平方米以上，以及设置于地下、半地下建筑面积在500平方米以上，且室内经营可燃商品的商场、集贸市场。</w:t>
      </w:r>
    </w:p>
    <w:p w14:paraId="15BA66CE">
      <w:pPr>
        <w:spacing w:line="56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（三）任一层面积在1500平方米以上或者总建筑面积在3000平方米以上的不具有娱乐功能的餐饮场所。</w:t>
      </w:r>
    </w:p>
    <w:p w14:paraId="4D608077">
      <w:pPr>
        <w:spacing w:line="56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（四）建筑面积在3000平方米以上的客运车站候车室、客运码头候船厅、民用机场航站楼。</w:t>
      </w:r>
    </w:p>
    <w:p w14:paraId="1F644404">
      <w:pPr>
        <w:spacing w:line="56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（五）观众席在20000座以上的公共体育场、观众席在3000座以上的公共体育馆，座位数大于2000个的公共会堂。</w:t>
      </w:r>
    </w:p>
    <w:p w14:paraId="250CB649">
      <w:pPr>
        <w:spacing w:line="56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成都市观众席在40000座以上的公共体育场、观众席在6000座以上的公共体育馆，座位数大于2000个的公共会堂。</w:t>
      </w:r>
    </w:p>
    <w:p w14:paraId="166C3E1A">
      <w:pPr>
        <w:spacing w:line="56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（六）建筑面积在500平方米以上的公共娱乐场所。</w:t>
      </w:r>
    </w:p>
    <w:p w14:paraId="66AEA048">
      <w:pPr>
        <w:spacing w:line="560" w:lineRule="exact"/>
        <w:ind w:firstLine="643" w:firstLineChars="200"/>
        <w:rPr>
          <w:rFonts w:ascii="Times New Roman" w:hAnsi="Times New Roman" w:eastAsia="黑体"/>
          <w:b/>
          <w:sz w:val="32"/>
          <w:szCs w:val="32"/>
        </w:rPr>
      </w:pPr>
      <w:r>
        <w:rPr>
          <w:rFonts w:ascii="Times New Roman" w:hAnsi="Times New Roman" w:eastAsia="黑体"/>
          <w:b/>
          <w:sz w:val="32"/>
          <w:szCs w:val="32"/>
        </w:rPr>
        <w:t>二、医院、养老机构和学校、托儿所、幼儿园</w:t>
      </w:r>
    </w:p>
    <w:p w14:paraId="6C268D11">
      <w:pPr>
        <w:spacing w:line="56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（一）床位数在100张以上</w:t>
      </w:r>
      <w:r>
        <w:rPr>
          <w:rFonts w:ascii="Times New Roman" w:hAnsi="Times New Roman" w:eastAsia="方正仿宋_GBK"/>
          <w:b/>
          <w:color w:val="000000"/>
          <w:sz w:val="32"/>
          <w:szCs w:val="32"/>
        </w:rPr>
        <w:t>的</w:t>
      </w:r>
      <w:r>
        <w:rPr>
          <w:rFonts w:ascii="Times New Roman" w:hAnsi="Times New Roman" w:eastAsia="方正仿宋_GBK"/>
          <w:b/>
          <w:sz w:val="32"/>
          <w:szCs w:val="32"/>
        </w:rPr>
        <w:t>医院。</w:t>
      </w:r>
    </w:p>
    <w:p w14:paraId="652F75D7">
      <w:pPr>
        <w:spacing w:line="56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（二）老人住宿床位在50张以上的养老机构。</w:t>
      </w:r>
    </w:p>
    <w:p w14:paraId="353B6A9C">
      <w:pPr>
        <w:spacing w:line="56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 xml:space="preserve">（三）有4个班以上的托儿所、有5个班以上的幼儿园。 </w:t>
      </w:r>
    </w:p>
    <w:p w14:paraId="7006502C">
      <w:pPr>
        <w:spacing w:line="56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（四）学生床位在100张以上的小学学校，学生床位在200张以上的其他学校。</w:t>
      </w:r>
    </w:p>
    <w:p w14:paraId="0EF26C55">
      <w:pPr>
        <w:spacing w:line="56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（五）200人以上的非寄宿制特殊教育学校，1000人以上的其他非寄宿制学校。</w:t>
      </w:r>
    </w:p>
    <w:p w14:paraId="7CF1F8D2">
      <w:pPr>
        <w:spacing w:line="560" w:lineRule="exact"/>
        <w:ind w:firstLine="643" w:firstLineChars="200"/>
        <w:rPr>
          <w:rFonts w:ascii="Times New Roman" w:hAnsi="Times New Roman" w:eastAsia="黑体"/>
          <w:b/>
          <w:sz w:val="32"/>
          <w:szCs w:val="32"/>
        </w:rPr>
      </w:pPr>
      <w:r>
        <w:rPr>
          <w:rFonts w:ascii="Times New Roman" w:hAnsi="Times New Roman" w:eastAsia="黑体"/>
          <w:b/>
          <w:sz w:val="32"/>
          <w:szCs w:val="32"/>
        </w:rPr>
        <w:t>三、国家机关</w:t>
      </w:r>
    </w:p>
    <w:p w14:paraId="41C8B949">
      <w:pPr>
        <w:spacing w:line="56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（一）县级以上党委、人大、政府、政协机关。</w:t>
      </w:r>
    </w:p>
    <w:p w14:paraId="36E2B9A6">
      <w:pPr>
        <w:spacing w:line="56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（二）县级以上监察委员会、人民法院和人民检察院。</w:t>
      </w:r>
    </w:p>
    <w:p w14:paraId="6DDE4E78">
      <w:pPr>
        <w:spacing w:line="560" w:lineRule="exact"/>
        <w:ind w:firstLine="643" w:firstLineChars="200"/>
        <w:rPr>
          <w:rFonts w:ascii="Times New Roman" w:hAnsi="Times New Roman" w:eastAsia="黑体"/>
          <w:b/>
          <w:sz w:val="32"/>
          <w:szCs w:val="32"/>
        </w:rPr>
      </w:pPr>
      <w:r>
        <w:rPr>
          <w:rFonts w:ascii="Times New Roman" w:hAnsi="Times New Roman" w:eastAsia="黑体"/>
          <w:b/>
          <w:sz w:val="32"/>
          <w:szCs w:val="32"/>
        </w:rPr>
        <w:t>四、广播电视台和县级以上邮政、通信枢纽、数据中心</w:t>
      </w:r>
    </w:p>
    <w:p w14:paraId="500A274D">
      <w:pPr>
        <w:spacing w:line="560" w:lineRule="exact"/>
        <w:ind w:firstLine="643" w:firstLineChars="200"/>
        <w:rPr>
          <w:rFonts w:ascii="Times New Roman" w:hAnsi="Times New Roman" w:eastAsia="黑体"/>
          <w:b/>
          <w:sz w:val="32"/>
          <w:szCs w:val="32"/>
        </w:rPr>
      </w:pPr>
      <w:r>
        <w:rPr>
          <w:rFonts w:ascii="Times New Roman" w:hAnsi="Times New Roman" w:eastAsia="黑体"/>
          <w:b/>
          <w:sz w:val="32"/>
          <w:szCs w:val="32"/>
        </w:rPr>
        <w:t>五、公共图书馆、展览馆、博物馆、档案馆，具有火灾危险性的文物保护单位，宗教活动场所</w:t>
      </w:r>
    </w:p>
    <w:p w14:paraId="2D233AEF">
      <w:pPr>
        <w:spacing w:line="56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（一）藏书50万册以上的公共图书馆，展览面积在10000平方米以上的展览馆。</w:t>
      </w:r>
    </w:p>
    <w:p w14:paraId="31D7DA3D">
      <w:pPr>
        <w:spacing w:line="56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（二）三级以上博物馆，国家档案馆。</w:t>
      </w:r>
    </w:p>
    <w:p w14:paraId="02DB294D">
      <w:pPr>
        <w:spacing w:line="56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（三）具有火灾危险性的省级以上文物保护单位。</w:t>
      </w:r>
    </w:p>
    <w:p w14:paraId="6EE1FFDB">
      <w:pPr>
        <w:spacing w:line="56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（四）宗教教职人员在50人以上或者建筑面积在5000平方米以上，且属于县级以上文物保护单位的宗教活动场所。</w:t>
      </w:r>
    </w:p>
    <w:p w14:paraId="3923FCE0">
      <w:pPr>
        <w:spacing w:line="560" w:lineRule="exact"/>
        <w:ind w:firstLine="643" w:firstLineChars="200"/>
        <w:rPr>
          <w:rFonts w:ascii="Times New Roman" w:hAnsi="Times New Roman" w:eastAsia="黑体"/>
          <w:b/>
          <w:sz w:val="32"/>
          <w:szCs w:val="32"/>
        </w:rPr>
      </w:pPr>
      <w:r>
        <w:rPr>
          <w:rFonts w:ascii="Times New Roman" w:hAnsi="Times New Roman" w:eastAsia="黑体"/>
          <w:b/>
          <w:sz w:val="32"/>
          <w:szCs w:val="32"/>
        </w:rPr>
        <w:t>六、发电厂和电网经营企业、储能电站</w:t>
      </w:r>
    </w:p>
    <w:p w14:paraId="1E873A39">
      <w:pPr>
        <w:spacing w:line="56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（一）大型发电厂（站），500KV及以上变电站。</w:t>
      </w:r>
    </w:p>
    <w:p w14:paraId="4AB3A5A6">
      <w:pPr>
        <w:spacing w:line="56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（二）县级以上电网经营企业、承担电力调度功能的供电单位。</w:t>
      </w:r>
    </w:p>
    <w:p w14:paraId="25C2F9D4">
      <w:pPr>
        <w:spacing w:line="56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（三）功率30MW或者容量30MW·h以上的电化学储能电站。</w:t>
      </w:r>
    </w:p>
    <w:p w14:paraId="5073F590">
      <w:pPr>
        <w:spacing w:line="560" w:lineRule="exact"/>
        <w:ind w:firstLine="643" w:firstLineChars="200"/>
        <w:rPr>
          <w:rFonts w:ascii="Times New Roman" w:hAnsi="Times New Roman" w:eastAsia="黑体"/>
          <w:b/>
          <w:sz w:val="32"/>
          <w:szCs w:val="32"/>
        </w:rPr>
      </w:pPr>
      <w:r>
        <w:rPr>
          <w:rFonts w:ascii="Times New Roman" w:hAnsi="Times New Roman" w:eastAsia="黑体"/>
          <w:b/>
          <w:sz w:val="32"/>
          <w:szCs w:val="32"/>
        </w:rPr>
        <w:t>七、易燃易爆化学物品的生产、充装、储存、供应、销售单位</w:t>
      </w:r>
    </w:p>
    <w:p w14:paraId="4974ACD7">
      <w:pPr>
        <w:spacing w:line="56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（一）生产、储存易燃易爆化学物品的工厂、专用仓库。</w:t>
      </w:r>
    </w:p>
    <w:p w14:paraId="00DFD685">
      <w:pPr>
        <w:spacing w:line="56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（二）易燃易爆气体和液体的充装站、调压站。</w:t>
      </w:r>
    </w:p>
    <w:p w14:paraId="22BADFBB">
      <w:pPr>
        <w:spacing w:line="56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（三）营业性汽车加油加气加氢站、液化石油气供应站。</w:t>
      </w:r>
    </w:p>
    <w:p w14:paraId="2E93E57E">
      <w:pPr>
        <w:pStyle w:val="4"/>
        <w:adjustRightInd/>
        <w:spacing w:line="560" w:lineRule="exact"/>
        <w:ind w:firstLine="643" w:firstLineChars="200"/>
        <w:rPr>
          <w:rFonts w:hint="default" w:ascii="Times New Roman" w:hAnsi="Times New Roman"/>
          <w:b/>
        </w:rPr>
      </w:pPr>
      <w:r>
        <w:rPr>
          <w:rFonts w:hint="default" w:ascii="Times New Roman" w:hAnsi="Times New Roman" w:eastAsia="方正仿宋_GBK"/>
          <w:b/>
          <w:color w:val="auto"/>
          <w:sz w:val="32"/>
          <w:szCs w:val="32"/>
        </w:rPr>
        <w:t>（四）建筑面积在300平方米以上的经营易燃易爆化学物品的商店。</w:t>
      </w:r>
    </w:p>
    <w:p w14:paraId="52B8B860">
      <w:pPr>
        <w:spacing w:line="560" w:lineRule="exact"/>
        <w:ind w:firstLine="643" w:firstLineChars="200"/>
        <w:rPr>
          <w:rFonts w:ascii="Times New Roman" w:hAnsi="Times New Roman" w:eastAsia="黑体"/>
          <w:b/>
          <w:sz w:val="32"/>
          <w:szCs w:val="32"/>
        </w:rPr>
      </w:pPr>
      <w:r>
        <w:rPr>
          <w:rFonts w:ascii="Times New Roman" w:hAnsi="Times New Roman" w:eastAsia="黑体"/>
          <w:b/>
          <w:sz w:val="32"/>
          <w:szCs w:val="32"/>
        </w:rPr>
        <w:t>八、生产、加工企业</w:t>
      </w:r>
    </w:p>
    <w:p w14:paraId="369BBD7D">
      <w:pPr>
        <w:spacing w:line="56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企业员工总数在1000人以上，或者同一建筑在同一时间的使用人数在300人以上的服装、鞋帽、玩具、木制品、家具、塑料、食品加工和纺织、印染、电子、印刷等劳动密集型企业。</w:t>
      </w:r>
    </w:p>
    <w:p w14:paraId="285BFC75">
      <w:pPr>
        <w:spacing w:line="560" w:lineRule="exact"/>
        <w:ind w:firstLine="643" w:firstLineChars="200"/>
        <w:rPr>
          <w:rFonts w:ascii="Times New Roman" w:hAnsi="Times New Roman" w:eastAsia="黑体"/>
          <w:b/>
          <w:sz w:val="32"/>
          <w:szCs w:val="32"/>
        </w:rPr>
      </w:pPr>
      <w:r>
        <w:rPr>
          <w:rFonts w:ascii="Times New Roman" w:hAnsi="Times New Roman" w:eastAsia="黑体"/>
          <w:b/>
          <w:sz w:val="32"/>
          <w:szCs w:val="32"/>
        </w:rPr>
        <w:t>九、国家和省级科研单位、国家实验室、全国重点实验室</w:t>
      </w:r>
    </w:p>
    <w:p w14:paraId="2DA83B66">
      <w:pPr>
        <w:spacing w:line="560" w:lineRule="exact"/>
        <w:ind w:firstLine="643" w:firstLineChars="200"/>
        <w:rPr>
          <w:rFonts w:ascii="Times New Roman" w:hAnsi="Times New Roman" w:eastAsia="黑体"/>
          <w:b/>
          <w:sz w:val="32"/>
          <w:szCs w:val="32"/>
        </w:rPr>
      </w:pPr>
      <w:r>
        <w:rPr>
          <w:rFonts w:ascii="Times New Roman" w:hAnsi="Times New Roman" w:eastAsia="黑体"/>
          <w:b/>
          <w:sz w:val="32"/>
          <w:szCs w:val="32"/>
        </w:rPr>
        <w:t>十、其他发生火灾可能性较大以及一旦发生火灾可能造成人身重大伤亡或者财产重大损失的单位和场所</w:t>
      </w:r>
    </w:p>
    <w:p w14:paraId="0C736728">
      <w:pPr>
        <w:spacing w:line="56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一）停车数量在300辆以上或者建筑面积大于10000平方米独立建造的经营性汽车库，车位数大于60个或者建筑面积大于3000平方米的修车库，停车数量在200辆以上的公交车、客车停车场；室内集中布置充电设备且建筑面积在1000平方米以上的电动汽车充电站。</w:t>
      </w:r>
    </w:p>
    <w:p w14:paraId="23E54216">
      <w:pPr>
        <w:spacing w:line="56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（二）省级以上司法部门直属的监狱和行政戒毒场所。</w:t>
      </w:r>
    </w:p>
    <w:p w14:paraId="5A7B38D8">
      <w:pPr>
        <w:spacing w:line="56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（三）固定资产（建筑、设备、原材料等）价值在2亿元以上的工业企业。</w:t>
      </w:r>
    </w:p>
    <w:p w14:paraId="12665926">
      <w:pPr>
        <w:spacing w:line="56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成都市固定资产（建筑、设备、原材料等）价值在5亿元以上的工业企业。</w:t>
      </w:r>
    </w:p>
    <w:p w14:paraId="0F9E2C64">
      <w:pPr>
        <w:spacing w:line="56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（四）央行、商业银行的分行级以上分支机构。</w:t>
      </w:r>
    </w:p>
    <w:p w14:paraId="6AB82677">
      <w:pPr>
        <w:spacing w:line="56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（五）4A级以上旅游景区。</w:t>
      </w:r>
    </w:p>
    <w:p w14:paraId="431C9D55">
      <w:pPr>
        <w:spacing w:line="56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（六）建筑面积在50000平方米以上的大型商业综合体。</w:t>
      </w:r>
    </w:p>
    <w:p w14:paraId="3D668B74">
      <w:pPr>
        <w:spacing w:line="560" w:lineRule="exact"/>
        <w:ind w:firstLine="643" w:firstLineChars="200"/>
        <w:rPr>
          <w:rFonts w:ascii="Times New Roman" w:hAnsi="Times New Roman" w:eastAsia="方正仿宋_GBK"/>
          <w:b/>
          <w:kern w:val="0"/>
          <w:sz w:val="32"/>
          <w:szCs w:val="32"/>
        </w:rPr>
      </w:pPr>
      <w:r>
        <w:rPr>
          <w:rFonts w:ascii="Times New Roman" w:hAnsi="Times New Roman" w:eastAsia="方正仿宋_GBK"/>
          <w:b/>
          <w:sz w:val="32"/>
          <w:szCs w:val="32"/>
        </w:rPr>
        <w:t>（七）城市轨道交通换乘站。</w:t>
      </w:r>
    </w:p>
    <w:p w14:paraId="74B16965">
      <w:pPr>
        <w:pStyle w:val="5"/>
        <w:spacing w:line="560" w:lineRule="exact"/>
        <w:rPr>
          <w:rFonts w:cs="Times New Roman"/>
          <w:b/>
        </w:rPr>
      </w:pPr>
    </w:p>
    <w:p w14:paraId="31B85B7C">
      <w:pPr>
        <w:pStyle w:val="5"/>
        <w:rPr>
          <w:rFonts w:cs="Times New Roman"/>
          <w:b/>
        </w:rPr>
      </w:pPr>
    </w:p>
    <w:p w14:paraId="4A620C52">
      <w:pPr>
        <w:rPr>
          <w:rFonts w:ascii="Times New Roman" w:hAnsi="Times New Roman"/>
          <w:b/>
        </w:rPr>
      </w:pPr>
    </w:p>
    <w:p w14:paraId="74199AE9">
      <w:pPr>
        <w:pStyle w:val="5"/>
        <w:rPr>
          <w:rFonts w:cs="Times New Roman"/>
          <w:b/>
        </w:rPr>
      </w:pPr>
    </w:p>
    <w:p w14:paraId="55B80083">
      <w:pPr>
        <w:rPr>
          <w:rFonts w:ascii="Times New Roman" w:hAnsi="Times New Roman"/>
          <w:b/>
        </w:rPr>
      </w:pPr>
    </w:p>
    <w:p w14:paraId="276AEAF8">
      <w:pPr>
        <w:pStyle w:val="5"/>
        <w:rPr>
          <w:rFonts w:cs="Times New Roman"/>
          <w:b/>
        </w:rPr>
      </w:pPr>
    </w:p>
    <w:p w14:paraId="13920EB3">
      <w:pPr>
        <w:rPr>
          <w:rFonts w:ascii="Times New Roman" w:hAnsi="Times New Roman"/>
          <w:b/>
        </w:rPr>
      </w:pPr>
    </w:p>
    <w:p w14:paraId="11208FA4">
      <w:pPr>
        <w:pStyle w:val="5"/>
        <w:rPr>
          <w:rFonts w:cs="Times New Roman"/>
          <w:b/>
        </w:rPr>
      </w:pPr>
    </w:p>
    <w:p w14:paraId="792BDB90">
      <w:pPr>
        <w:rPr>
          <w:rFonts w:ascii="Times New Roman" w:hAnsi="Times New Roman"/>
          <w:b/>
        </w:rPr>
      </w:pPr>
    </w:p>
    <w:p w14:paraId="36E6398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MTQ0NmEwZGQ4M2E4MDQ1NGI1OWEzNWE1ZGI3OGQifQ=="/>
  </w:docVars>
  <w:rsids>
    <w:rsidRoot w:val="00000000"/>
    <w:rsid w:val="24EE5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next w:val="1"/>
    <w:autoRedefine/>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customStyle="1" w:styleId="5">
    <w:name w:val="正文2"/>
    <w:basedOn w:val="1"/>
    <w:next w:val="1"/>
    <w:autoRedefine/>
    <w:qFormat/>
    <w:uiPriority w:val="0"/>
    <w:rPr>
      <w:rFonts w:ascii="Times New Roman" w:hAnsi="Times New Roman" w:eastAsiaTheme="minorEastAsia" w:cstheme="minorBidi"/>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2024-08-22T07:33:44Z</dcterms:created>
  <dc:creator>admin</dc:creator>
  <cp:lastModifiedBy>陈了了</cp:lastModifiedBy>
  <dcterms:modified xsi:type="dcterms:W3CDTF">2024-08-22T07:34:09Z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4125C9A619CA4821884B4AA95458C996_12</vt:lpwstr>
  </property>
</Properties>
</file>