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方正黑体_GBK"/>
          <w:b/>
          <w:bCs/>
          <w:sz w:val="32"/>
          <w:szCs w:val="32"/>
          <w:lang w:val="en-US" w:eastAsia="zh-CN"/>
        </w:rPr>
      </w:pPr>
      <w:bookmarkStart w:id="0" w:name="_GoBack"/>
      <w:bookmarkEnd w:id="0"/>
      <w:r>
        <w:rPr>
          <w:rFonts w:eastAsia="方正黑体_GBK"/>
          <w:b/>
          <w:bCs/>
          <w:sz w:val="32"/>
          <w:szCs w:val="32"/>
        </w:rPr>
        <w:t>附件</w:t>
      </w:r>
      <w:r>
        <w:rPr>
          <w:rFonts w:hint="eastAsia" w:eastAsia="方正黑体_GBK"/>
          <w:b/>
          <w:bCs/>
          <w:sz w:val="32"/>
          <w:szCs w:val="32"/>
          <w:lang w:val="en-US" w:eastAsia="zh-CN"/>
        </w:rPr>
        <w:t>1</w:t>
      </w:r>
    </w:p>
    <w:p>
      <w:pPr>
        <w:spacing w:line="600" w:lineRule="exact"/>
        <w:rPr>
          <w:rFonts w:eastAsia="方正小标宋_GBK"/>
          <w:b/>
          <w:bCs/>
          <w:sz w:val="44"/>
          <w:szCs w:val="44"/>
        </w:rPr>
      </w:pPr>
    </w:p>
    <w:p>
      <w:pPr>
        <w:spacing w:line="600" w:lineRule="exact"/>
        <w:jc w:val="center"/>
        <w:rPr>
          <w:rFonts w:eastAsia="方正小标宋_GBK"/>
          <w:b/>
          <w:bCs/>
          <w:sz w:val="44"/>
          <w:szCs w:val="44"/>
        </w:rPr>
      </w:pPr>
      <w:r>
        <w:rPr>
          <w:rFonts w:eastAsia="方正小标宋_GBK"/>
          <w:b/>
          <w:bCs/>
          <w:sz w:val="44"/>
          <w:szCs w:val="44"/>
        </w:rPr>
        <w:t>《四川省消防安全重点单位界定标准（试行）》</w:t>
      </w:r>
    </w:p>
    <w:p>
      <w:pPr>
        <w:spacing w:line="600" w:lineRule="exact"/>
        <w:jc w:val="center"/>
        <w:rPr>
          <w:rFonts w:eastAsia="黑体"/>
          <w:b/>
          <w:bCs/>
          <w:sz w:val="32"/>
          <w:szCs w:val="32"/>
        </w:rPr>
      </w:pPr>
    </w:p>
    <w:p>
      <w:pPr>
        <w:keepNext w:val="0"/>
        <w:keepLines w:val="0"/>
        <w:pageBreakBefore w:val="0"/>
        <w:numPr>
          <w:ilvl w:val="0"/>
          <w:numId w:val="2"/>
        </w:numPr>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公众聚集场所</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（一）客房数在100间以上，以及设置于地下、半地下客房数在50间以上，或者建筑面积在3000平方米以上的旅馆。</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（二）建筑面积在3000平方米以上，以及设置于地下、半地下建筑面积在500平方米以上，且室内经营可燃商品的商场、集贸市场。</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成都市建筑面积在5000平方米以上，以及设置于地下、半地下建筑面积在500平方米以上，且</w:t>
      </w:r>
      <w:r>
        <w:rPr>
          <w:rFonts w:hint="eastAsia" w:eastAsia="方正仿宋_GBK"/>
          <w:b/>
          <w:bCs/>
          <w:sz w:val="32"/>
          <w:szCs w:val="32"/>
        </w:rPr>
        <w:t>室内</w:t>
      </w:r>
      <w:r>
        <w:rPr>
          <w:rFonts w:eastAsia="方正仿宋_GBK"/>
          <w:b/>
          <w:bCs/>
          <w:sz w:val="32"/>
          <w:szCs w:val="32"/>
        </w:rPr>
        <w:t>经营可燃商品的商场、集贸市场。</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（三）任一层面积在1500平方米以上或</w:t>
      </w:r>
      <w:r>
        <w:rPr>
          <w:rFonts w:hint="eastAsia" w:eastAsia="方正仿宋_GBK"/>
          <w:b/>
          <w:bCs/>
          <w:sz w:val="32"/>
          <w:szCs w:val="32"/>
        </w:rPr>
        <w:t>者</w:t>
      </w:r>
      <w:r>
        <w:rPr>
          <w:rFonts w:eastAsia="方正仿宋_GBK"/>
          <w:b/>
          <w:bCs/>
          <w:sz w:val="32"/>
          <w:szCs w:val="32"/>
        </w:rPr>
        <w:t>总建筑面积在3000平方米以上的不具有娱乐功能的餐饮场所。</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（四）建筑面积在3000平方米以上的客运车站候车室、客运码头候船厅、民用机场航站楼。</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（五）观众席在20000座以上的公共体育场、观众席在3000座以上的公共体育馆，座位数大于2000个的公共会堂。</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成都市观众席在40000座以上的公共体育场、观众席在6000座以上的公共体育馆，座位数大于2000个的公共会堂。</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（六）建筑面积在500平方米以上的公共娱乐场所。</w:t>
      </w:r>
    </w:p>
    <w:p>
      <w:pPr>
        <w:keepNext w:val="0"/>
        <w:keepLines w:val="0"/>
        <w:pageBreakBefore w:val="0"/>
        <w:numPr>
          <w:ilvl w:val="0"/>
          <w:numId w:val="2"/>
        </w:numPr>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医院、养老机构和学校、托儿所、幼儿园</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（一）床位数在100张以上</w:t>
      </w:r>
      <w:r>
        <w:rPr>
          <w:rFonts w:eastAsia="方正仿宋_GBK"/>
          <w:b/>
          <w:bCs/>
          <w:color w:val="000000"/>
          <w:sz w:val="32"/>
          <w:szCs w:val="32"/>
        </w:rPr>
        <w:t>的</w:t>
      </w:r>
      <w:r>
        <w:rPr>
          <w:rFonts w:eastAsia="方正仿宋_GBK"/>
          <w:b/>
          <w:bCs/>
          <w:sz w:val="32"/>
          <w:szCs w:val="32"/>
        </w:rPr>
        <w:t>医院。</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（二）老人住宿床位在50张以上的养老机构。</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 xml:space="preserve">（三）有4个班以上的托儿所、有5个班以上的幼儿园。 </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（四）学生床位在100张以上的小学学校，学生床位在200张以上的其他学校。</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（五）200人以上的非寄宿制特殊教育学校，1000人以上的其他非寄宿制学校。</w:t>
      </w:r>
    </w:p>
    <w:p>
      <w:pPr>
        <w:keepNext w:val="0"/>
        <w:keepLines w:val="0"/>
        <w:pageBreakBefore w:val="0"/>
        <w:numPr>
          <w:ilvl w:val="0"/>
          <w:numId w:val="2"/>
        </w:numPr>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国家机关</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（一）县级以上党委、人大、政府、政协机关。</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（二）县级以上监察委员会、人民法院和人民检察院。</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四、广播电视台和县级以上邮政、通信枢纽、数据中心</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五、公共图书馆、展览馆、博物馆、档案馆，具有火灾危险性的文物保护单位，宗教活动场所</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（一）藏书50万册以上的公共图书馆，展览面积在10000平方米以上的展览馆。</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（二）三级以上博物馆，国家档案馆。</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（三）具有火灾危险性的省级以上文物保护单位。</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（四）宗教教职人员在50人以上或者建筑面积在5000平方米以上</w:t>
      </w:r>
      <w:r>
        <w:rPr>
          <w:rFonts w:hint="eastAsia" w:eastAsia="方正仿宋_GBK"/>
          <w:b/>
          <w:bCs/>
          <w:sz w:val="32"/>
          <w:szCs w:val="32"/>
        </w:rPr>
        <w:t>，且属于县级以上</w:t>
      </w:r>
      <w:r>
        <w:rPr>
          <w:rFonts w:eastAsia="方正仿宋_GBK"/>
          <w:b/>
          <w:bCs/>
          <w:sz w:val="32"/>
          <w:szCs w:val="32"/>
        </w:rPr>
        <w:t>文物保护单位的宗教活动场所。</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六、发电厂和电网经营企业、储能电站</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（一）大型发电厂（站），500KV及以上变电站。</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（二）县级以上电网经营企业、承担电力调度功能的供电单位。</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（三）功率30MW或</w:t>
      </w:r>
      <w:r>
        <w:rPr>
          <w:rFonts w:hint="eastAsia" w:eastAsia="方正仿宋_GBK"/>
          <w:b/>
          <w:bCs/>
          <w:sz w:val="32"/>
          <w:szCs w:val="32"/>
        </w:rPr>
        <w:t>者</w:t>
      </w:r>
      <w:r>
        <w:rPr>
          <w:rFonts w:eastAsia="方正仿宋_GBK"/>
          <w:b/>
          <w:bCs/>
          <w:sz w:val="32"/>
          <w:szCs w:val="32"/>
        </w:rPr>
        <w:t>容量30MW·h以上的电化学储能电站。</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七、易燃易爆化学物品的生产、充装、储存、供应、销售单位</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（一）生产、储存易燃易爆化学物品的工厂、专用仓库。</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（二）易燃易爆气体和液体的充装站、调压站。</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（三）</w:t>
      </w:r>
      <w:r>
        <w:rPr>
          <w:rFonts w:hint="eastAsia" w:eastAsia="方正仿宋_GBK"/>
          <w:b/>
          <w:bCs/>
          <w:sz w:val="32"/>
          <w:szCs w:val="32"/>
        </w:rPr>
        <w:t>营业性</w:t>
      </w:r>
      <w:r>
        <w:rPr>
          <w:rFonts w:eastAsia="方正仿宋_GBK"/>
          <w:b/>
          <w:bCs/>
          <w:sz w:val="32"/>
          <w:szCs w:val="32"/>
        </w:rPr>
        <w:t>汽车加油加气加氢站、液化石油气供应站。</w:t>
      </w:r>
    </w:p>
    <w:p>
      <w:pPr>
        <w:pStyle w:val="18"/>
        <w:keepNext w:val="0"/>
        <w:keepLines w:val="0"/>
        <w:pageBreakBefore w:val="0"/>
        <w:kinsoku/>
        <w:wordWrap/>
        <w:overflowPunct/>
        <w:topLinePunct w:val="0"/>
        <w:bidi w:val="0"/>
        <w:adjustRightInd/>
        <w:snapToGrid/>
        <w:spacing w:line="600" w:lineRule="exact"/>
        <w:ind w:firstLine="643" w:firstLineChars="200"/>
        <w:textAlignment w:val="auto"/>
        <w:rPr>
          <w:rFonts w:ascii="Times New Roman"/>
          <w:b/>
          <w:bCs/>
        </w:rPr>
      </w:pPr>
      <w:r>
        <w:rPr>
          <w:rFonts w:ascii="Times New Roman" w:eastAsia="方正仿宋_GBK"/>
          <w:b/>
          <w:bCs/>
          <w:color w:val="auto"/>
          <w:sz w:val="32"/>
          <w:szCs w:val="32"/>
        </w:rPr>
        <w:t>（四）建筑面积在300平方米以上的经营易燃易爆化学物品的商店。</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八、生产、加工企业</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企业员工总数在1000人以上，或者同一建筑在同一时间的使用人数在300人以上的服装、鞋帽、玩具、木制品、家具、塑料、食品加工和纺织、印染、电子、印刷等劳动密集型企业。</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九、国家和省级科研单位、国家实验室、全国重点实验室</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黑体_GBK"/>
          <w:b/>
          <w:bCs/>
          <w:sz w:val="32"/>
          <w:szCs w:val="32"/>
        </w:rPr>
      </w:pPr>
      <w:r>
        <w:rPr>
          <w:rFonts w:eastAsia="方正黑体_GBK"/>
          <w:b/>
          <w:bCs/>
          <w:sz w:val="32"/>
          <w:szCs w:val="32"/>
        </w:rPr>
        <w:t>十、其他发生火灾可能性较大以及一旦发生火灾可能造成人身重大伤亡或者财产重大损失的单位和场所</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一）停车数量在300辆以上或者建筑面积大于10000平方米独立建造的经营性汽车库，车位数大于60个或者建筑面积大于3000平方米的修车库，停车数量在200辆以上的公交车、客车停车场；室内集中布置充电设备且建筑面积在1000平方米以上的电动汽车充电站。</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（二）省级以上司法部门直属的监狱和行政戒毒场所。</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（三）固定资产（建筑、设备、原材料等）价值在2亿元以上的工业企业。</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成都市固定资产（建筑、设备、原材料等）价值在5亿元以上的工业企业。</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（四）央行、商业银行的分行级以上分支机构。</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（五）4A级以上旅游景区。</w:t>
      </w:r>
    </w:p>
    <w:p>
      <w:pPr>
        <w:keepNext w:val="0"/>
        <w:keepLines w:val="0"/>
        <w:pageBreakBefore w:val="0"/>
        <w:kinsoku/>
        <w:wordWrap/>
        <w:overflowPunct/>
        <w:topLinePunct w:val="0"/>
        <w:bidi w:val="0"/>
        <w:adjustRightInd/>
        <w:snapToGrid/>
        <w:spacing w:line="600" w:lineRule="exact"/>
        <w:ind w:firstLine="643" w:firstLineChars="200"/>
        <w:textAlignment w:val="auto"/>
        <w:rPr>
          <w:rFonts w:eastAsia="方正仿宋_GBK"/>
          <w:b/>
          <w:bCs/>
          <w:sz w:val="32"/>
          <w:szCs w:val="32"/>
        </w:rPr>
      </w:pPr>
      <w:r>
        <w:rPr>
          <w:rFonts w:eastAsia="方正仿宋_GBK"/>
          <w:b/>
          <w:bCs/>
          <w:sz w:val="32"/>
          <w:szCs w:val="32"/>
        </w:rPr>
        <w:t>（六）建筑面积在50000平方米以上的大型商业综合体。</w:t>
      </w:r>
    </w:p>
    <w:p>
      <w:pPr>
        <w:pStyle w:val="21"/>
        <w:keepNext w:val="0"/>
        <w:keepLines w:val="0"/>
        <w:pageBreakBefore w:val="0"/>
        <w:kinsoku/>
        <w:wordWrap/>
        <w:overflowPunct/>
        <w:topLinePunct w:val="0"/>
        <w:bidi w:val="0"/>
        <w:adjustRightInd/>
        <w:snapToGrid/>
        <w:spacing w:line="600" w:lineRule="exact"/>
        <w:textAlignment w:val="auto"/>
        <w:rPr>
          <w:rFonts w:hint="default" w:ascii="方正仿宋_GBK" w:hAnsi="方正仿宋_GBK" w:eastAsia="方正仿宋_GBK" w:cs="方正仿宋_GBK"/>
          <w:b/>
          <w:bCs/>
          <w:color w:val="auto"/>
          <w:sz w:val="10"/>
          <w:szCs w:val="10"/>
          <w:lang w:val="en-US" w:eastAsia="zh-CN"/>
        </w:rPr>
      </w:pPr>
      <w:r>
        <w:rPr>
          <w:rFonts w:eastAsia="方正仿宋_GBK"/>
          <w:b/>
          <w:bCs/>
          <w:sz w:val="32"/>
          <w:szCs w:val="32"/>
        </w:rPr>
        <w:t>（七）城市轨道交通换乘站。</w:t>
      </w:r>
    </w:p>
    <w:p>
      <w:pPr>
        <w:pStyle w:val="21"/>
        <w:rPr>
          <w:rFonts w:hint="default" w:ascii="方正仿宋_GBK" w:hAnsi="方正仿宋_GBK" w:eastAsia="方正仿宋_GBK" w:cs="方正仿宋_GBK"/>
          <w:b w:val="0"/>
          <w:bCs w:val="0"/>
          <w:color w:val="auto"/>
          <w:sz w:val="10"/>
          <w:szCs w:val="10"/>
          <w:lang w:val="en-US" w:eastAsia="zh-CN"/>
        </w:rPr>
      </w:pPr>
    </w:p>
    <w:p>
      <w:pPr>
        <w:pStyle w:val="21"/>
        <w:rPr>
          <w:rFonts w:hint="default" w:ascii="方正仿宋_GBK" w:hAnsi="方正仿宋_GBK" w:eastAsia="方正仿宋_GBK" w:cs="方正仿宋_GBK"/>
          <w:b w:val="0"/>
          <w:bCs w:val="0"/>
          <w:color w:val="auto"/>
          <w:sz w:val="10"/>
          <w:szCs w:val="10"/>
          <w:lang w:val="en-US" w:eastAsia="zh-CN"/>
        </w:rPr>
      </w:pPr>
    </w:p>
    <w:p>
      <w:pPr>
        <w:pStyle w:val="21"/>
        <w:rPr>
          <w:rFonts w:hint="default" w:ascii="方正仿宋_GBK" w:hAnsi="方正仿宋_GBK" w:eastAsia="方正仿宋_GBK" w:cs="方正仿宋_GBK"/>
          <w:b w:val="0"/>
          <w:bCs w:val="0"/>
          <w:color w:val="auto"/>
          <w:sz w:val="10"/>
          <w:szCs w:val="10"/>
          <w:lang w:val="en-US" w:eastAsia="zh-CN"/>
        </w:rPr>
      </w:pPr>
    </w:p>
    <w:p>
      <w:pPr>
        <w:pStyle w:val="21"/>
        <w:rPr>
          <w:rFonts w:hint="default" w:ascii="方正仿宋_GBK" w:hAnsi="方正仿宋_GBK" w:eastAsia="方正仿宋_GBK" w:cs="方正仿宋_GBK"/>
          <w:b w:val="0"/>
          <w:bCs w:val="0"/>
          <w:color w:val="auto"/>
          <w:sz w:val="10"/>
          <w:szCs w:val="10"/>
          <w:lang w:val="en-US" w:eastAsia="zh-CN"/>
        </w:rPr>
      </w:pPr>
    </w:p>
    <w:p>
      <w:pPr>
        <w:pStyle w:val="17"/>
        <w:rPr>
          <w:rFonts w:hint="eastAsia"/>
          <w:b/>
          <w:bCs/>
          <w:sz w:val="32"/>
          <w:szCs w:val="32"/>
          <w:lang w:val="en-US" w:eastAsia="zh-CN"/>
        </w:rPr>
        <w:sectPr>
          <w:footerReference r:id="rId3" w:type="default"/>
          <w:pgSz w:w="11906" w:h="16838"/>
          <w:pgMar w:top="2098" w:right="1531" w:bottom="1984" w:left="1531"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b/>
          <w:bCs/>
          <w:sz w:val="32"/>
          <w:szCs w:val="32"/>
          <w:lang w:val="en-US" w:eastAsia="zh-CN"/>
        </w:rPr>
      </w:pPr>
      <w:r>
        <w:rPr>
          <w:rFonts w:hint="eastAsia"/>
          <w:b/>
          <w:bCs/>
          <w:sz w:val="32"/>
          <w:szCs w:val="32"/>
          <w:lang w:val="en-US" w:eastAsia="zh-CN"/>
        </w:rPr>
        <w:t>附件2</w:t>
      </w:r>
    </w:p>
    <w:p>
      <w:pPr>
        <w:pStyle w:val="9"/>
        <w:spacing w:line="560" w:lineRule="exact"/>
        <w:jc w:val="center"/>
        <w:rPr>
          <w:rFonts w:hint="eastAsia" w:ascii="黑体" w:eastAsia="黑体"/>
          <w:b/>
          <w:sz w:val="36"/>
          <w:szCs w:val="36"/>
        </w:rPr>
      </w:pPr>
      <w:r>
        <w:rPr>
          <w:rFonts w:hint="eastAsia" w:ascii="黑体" w:eastAsia="黑体"/>
          <w:b/>
          <w:sz w:val="36"/>
          <w:szCs w:val="36"/>
        </w:rPr>
        <w:t>消防安全重点单位申报表</w:t>
      </w:r>
    </w:p>
    <w:tbl>
      <w:tblPr>
        <w:tblStyle w:val="16"/>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2025"/>
        <w:gridCol w:w="2815"/>
        <w:gridCol w:w="900"/>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457" w:type="dxa"/>
            <w:gridSpan w:val="2"/>
            <w:vAlign w:val="center"/>
          </w:tcPr>
          <w:p>
            <w:pPr>
              <w:pStyle w:val="9"/>
              <w:jc w:val="center"/>
              <w:rPr>
                <w:rFonts w:ascii="仿宋_GB2312" w:eastAsia="仿宋_GB2312"/>
              </w:rPr>
            </w:pPr>
            <w:r>
              <w:rPr>
                <w:rFonts w:hint="eastAsia" w:ascii="仿宋_GB2312" w:eastAsia="仿宋_GB2312"/>
              </w:rPr>
              <w:t>单位名称</w:t>
            </w:r>
          </w:p>
        </w:tc>
        <w:tc>
          <w:tcPr>
            <w:tcW w:w="2815" w:type="dxa"/>
            <w:vAlign w:val="center"/>
          </w:tcPr>
          <w:p>
            <w:pPr>
              <w:jc w:val="center"/>
              <w:rPr>
                <w:rFonts w:hint="eastAsia" w:ascii="仿宋_GB2312" w:eastAsia="仿宋_GB2312"/>
                <w:color w:val="FF0000"/>
              </w:rPr>
            </w:pPr>
          </w:p>
        </w:tc>
        <w:tc>
          <w:tcPr>
            <w:tcW w:w="900" w:type="dxa"/>
            <w:vAlign w:val="center"/>
          </w:tcPr>
          <w:p>
            <w:pPr>
              <w:jc w:val="center"/>
              <w:rPr>
                <w:rFonts w:ascii="仿宋_GB2312" w:eastAsia="仿宋_GB2312"/>
              </w:rPr>
            </w:pPr>
            <w:r>
              <w:rPr>
                <w:rFonts w:hint="eastAsia" w:ascii="仿宋_GB2312" w:eastAsia="仿宋_GB2312"/>
              </w:rPr>
              <w:t>电 话</w:t>
            </w:r>
          </w:p>
        </w:tc>
        <w:tc>
          <w:tcPr>
            <w:tcW w:w="3092" w:type="dxa"/>
            <w:vAlign w:val="center"/>
          </w:tcPr>
          <w:p>
            <w:pPr>
              <w:jc w:val="center"/>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457" w:type="dxa"/>
            <w:gridSpan w:val="2"/>
            <w:vAlign w:val="center"/>
          </w:tcPr>
          <w:p>
            <w:pPr>
              <w:jc w:val="center"/>
              <w:rPr>
                <w:rFonts w:ascii="仿宋_GB2312" w:eastAsia="仿宋_GB2312"/>
              </w:rPr>
            </w:pPr>
            <w:r>
              <w:rPr>
                <w:rFonts w:hint="eastAsia" w:ascii="仿宋_GB2312" w:eastAsia="仿宋_GB2312"/>
              </w:rPr>
              <w:t>地    址</w:t>
            </w:r>
          </w:p>
        </w:tc>
        <w:tc>
          <w:tcPr>
            <w:tcW w:w="2815" w:type="dxa"/>
            <w:vAlign w:val="center"/>
          </w:tcPr>
          <w:p>
            <w:pPr>
              <w:jc w:val="center"/>
              <w:rPr>
                <w:rFonts w:hint="eastAsia" w:ascii="仿宋_GB2312" w:eastAsia="仿宋_GB2312"/>
                <w:color w:val="FF0000"/>
                <w:lang w:eastAsia="zh-CN"/>
              </w:rPr>
            </w:pPr>
          </w:p>
        </w:tc>
        <w:tc>
          <w:tcPr>
            <w:tcW w:w="900" w:type="dxa"/>
            <w:vAlign w:val="center"/>
          </w:tcPr>
          <w:p>
            <w:pPr>
              <w:jc w:val="center"/>
              <w:rPr>
                <w:rFonts w:hint="eastAsia" w:ascii="仿宋_GB2312" w:eastAsia="仿宋_GB2312"/>
              </w:rPr>
            </w:pPr>
            <w:r>
              <w:rPr>
                <w:rFonts w:hint="eastAsia" w:ascii="仿宋_GB2312" w:eastAsia="仿宋_GB2312"/>
              </w:rPr>
              <w:t>邮 编</w:t>
            </w:r>
          </w:p>
        </w:tc>
        <w:tc>
          <w:tcPr>
            <w:tcW w:w="3092" w:type="dxa"/>
            <w:vAlign w:val="center"/>
          </w:tcPr>
          <w:p>
            <w:pPr>
              <w:jc w:val="center"/>
              <w:rPr>
                <w:rFonts w:hint="default" w:ascii="仿宋_GB2312" w:eastAsia="仿宋_GB2312"/>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457" w:type="dxa"/>
            <w:gridSpan w:val="2"/>
            <w:vAlign w:val="center"/>
          </w:tcPr>
          <w:p>
            <w:pPr>
              <w:jc w:val="center"/>
              <w:rPr>
                <w:rFonts w:ascii="仿宋_GB2312" w:eastAsia="仿宋_GB2312"/>
              </w:rPr>
            </w:pPr>
            <w:r>
              <w:rPr>
                <w:rFonts w:hint="eastAsia" w:ascii="仿宋_GB2312" w:eastAsia="仿宋_GB2312"/>
              </w:rPr>
              <w:t>是否原消防重点单位</w:t>
            </w:r>
          </w:p>
        </w:tc>
        <w:tc>
          <w:tcPr>
            <w:tcW w:w="6807" w:type="dxa"/>
            <w:gridSpan w:val="3"/>
            <w:vAlign w:val="center"/>
          </w:tcPr>
          <w:p>
            <w:pPr>
              <w:ind w:firstLine="210" w:firstLineChars="100"/>
              <w:jc w:val="center"/>
              <w:rPr>
                <w:rFonts w:ascii="仿宋_GB2312" w:eastAsia="仿宋_GB2312"/>
              </w:rPr>
            </w:pPr>
            <w:r>
              <w:rPr>
                <w:rFonts w:hint="eastAsia" w:ascii="仿宋_GB2312" w:eastAsia="仿宋_GB2312"/>
              </w:rPr>
              <w:t>□否</w:t>
            </w:r>
            <w:r>
              <w:rPr>
                <w:rFonts w:ascii="仿宋_GB2312" w:eastAsia="仿宋_GB2312"/>
              </w:rPr>
              <w:t xml:space="preserve"> </w:t>
            </w:r>
            <w:r>
              <w:rPr>
                <w:rFonts w:hint="eastAsia" w:ascii="仿宋_GB2312" w:eastAsia="仿宋_GB2312"/>
              </w:rPr>
              <w:t xml:space="preserve">   </w:t>
            </w:r>
            <w:r>
              <w:rPr>
                <w:rFonts w:ascii="仿宋_GB2312" w:eastAsia="仿宋_GB2312"/>
              </w:rPr>
              <w:t xml:space="preserve">   </w:t>
            </w:r>
            <w:r>
              <w:rPr>
                <w:rFonts w:hint="eastAsia" w:ascii="仿宋_GB2312" w:eastAsia="仿宋_GB2312"/>
              </w:rPr>
              <w:t>□区、县级消防重点单位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6" w:hRule="atLeast"/>
          <w:jc w:val="center"/>
        </w:trPr>
        <w:tc>
          <w:tcPr>
            <w:tcW w:w="4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申</w:t>
            </w: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报</w:t>
            </w: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单</w:t>
            </w: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位</w:t>
            </w: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属</w:t>
            </w: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宋体" w:hAnsi="宋体" w:eastAsia="宋体" w:cs="宋体"/>
                <w:sz w:val="18"/>
                <w:szCs w:val="18"/>
              </w:rPr>
            </w:pPr>
            <w:r>
              <w:rPr>
                <w:rFonts w:hint="eastAsia" w:ascii="宋体" w:hAnsi="宋体" w:eastAsia="宋体" w:cs="宋体"/>
                <w:sz w:val="21"/>
                <w:szCs w:val="21"/>
              </w:rPr>
              <w:t>性</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11" w:leftChars="-53" w:right="-107" w:rightChars="-51"/>
              <w:jc w:val="center"/>
              <w:textAlignment w:val="auto"/>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公众聚集场所</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□客房数在100间以上，以及设置于地下、半地下客房数在50间以上，或者建筑面积在3000平方米以上的旅馆。</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□建筑面积在3000平方米以上，以及设置于地下、半地下建筑面积在500平方米以上，且室内经营可燃商品的商场、集贸市场。</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lang w:eastAsia="zh-CN"/>
              </w:rPr>
            </w:pPr>
            <w:r>
              <w:rPr>
                <w:rFonts w:hint="eastAsia" w:ascii="宋体" w:hAnsi="宋体" w:eastAsia="宋体" w:cs="宋体"/>
                <w:w w:val="90"/>
                <w:sz w:val="15"/>
                <w:szCs w:val="15"/>
              </w:rPr>
              <w:t>□任一层面积在1500平方米以上或者总建筑面积在3000平方米以上的不具有娱乐功能的餐饮场所</w:t>
            </w:r>
            <w:r>
              <w:rPr>
                <w:rFonts w:hint="eastAsia" w:ascii="宋体" w:hAnsi="宋体" w:eastAsia="宋体" w:cs="宋体"/>
                <w:w w:val="90"/>
                <w:sz w:val="15"/>
                <w:szCs w:val="15"/>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□建筑面积在3000平方米以上的客运车站候车室、客运码头候船厅、民用机场航站楼。</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□观众席在20000座以上的公共体育场、观众席在3000座以上的公共体育馆，座位数大于2000个的公共会堂。</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□建筑面积在500平方米以上的公共娱乐场所。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医院、养老机构和学校、托儿所、幼儿园</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□床位数在100张以上的医院。□老人住宿床位在50张以上的养老机构。</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□有4个班以上的托儿所、有5个班以上的幼儿园。</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□学生床位在100张以上的小学学校，学生床位在200张以上的其他学校。</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□200人以上的非寄宿制特殊教育学校，1000人以上的其他非寄宿制学校。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国家机关</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 xml:space="preserve">□县级以上党委、人大、政府、政协机关。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□县级以上监察委员会、人民法院和人民检察院。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邮政、通信</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□广播电视台和县级以上邮政、通信枢纽、数据中心。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公共图书馆、展览馆、博物馆、档案馆，具有火灾危险性的文物保护单位，宗教活动场所</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□藏书50万册以上的公共图书馆，展览面积在10000平方米以上的展览馆。</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□三级以上博物馆，国家档案馆。</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□具有火灾危险性的省级以上文物保护单位。</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□宗教教职人员在50人以上或者建筑面积在5000平方米以上，且属于县级以上文物保护单位的宗教活动场所。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发电厂和电网经营企业、储能电站</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□大型发电厂（站），500KV及以上变电站。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□县级以上电网经营企业、承担电力调度功能的供电单位。</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□功率30MW或者容量30MW·h以上的电化学储能电站。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易燃易爆化学物品的生产、充装、储存、供应、销售单位</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□生产、储存易燃易爆化学物品的工厂、专用仓库。</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□易燃易爆气体和液体的充装站、调压站。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□营业性汽车加油加气加氢站、液化石油气供应站。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□建筑面积在300平方米以上的经营易燃易爆化学物品的商店。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生产、加工企业</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□企业员工总数在1000人以上，或者同一建筑在同一时间的使用人数在300人以上的服装、鞋帽、玩具、木制品、家具、塑料、食品加工和纺织、印染、电子、印刷等劳动密集型企业。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w w:val="90"/>
                <w:sz w:val="18"/>
                <w:szCs w:val="18"/>
              </w:rPr>
              <w:t>国家和省级</w:t>
            </w:r>
            <w:r>
              <w:rPr>
                <w:rFonts w:hint="eastAsia" w:ascii="方正仿宋_GBK" w:hAnsi="方正仿宋_GBK" w:eastAsia="方正仿宋_GBK" w:cs="方正仿宋_GBK"/>
                <w:w w:val="90"/>
                <w:sz w:val="18"/>
                <w:szCs w:val="18"/>
                <w:lang w:eastAsia="zh-CN"/>
              </w:rPr>
              <w:t>重点单位</w:t>
            </w: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w w:val="90"/>
                <w:sz w:val="15"/>
                <w:szCs w:val="15"/>
              </w:rPr>
            </w:pPr>
            <w:r>
              <w:rPr>
                <w:rFonts w:hint="eastAsia" w:ascii="宋体" w:hAnsi="宋体" w:eastAsia="宋体" w:cs="宋体"/>
                <w:w w:val="90"/>
                <w:sz w:val="15"/>
                <w:szCs w:val="15"/>
              </w:rPr>
              <w:t>□国家和省级科研单位、国家实验室、全国重点实验室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4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8"/>
                <w:szCs w:val="18"/>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其他发生火灾可能性较大以及一旦发生火灾可能造成人身重大伤亡或者财产重大损失的单位和场所</w:t>
            </w:r>
            <w:r>
              <w:rPr>
                <w:rFonts w:hint="eastAsia" w:ascii="方正仿宋_GBK" w:hAnsi="方正仿宋_GBK" w:eastAsia="方正仿宋_GBK" w:cs="方正仿宋_GBK"/>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18"/>
                <w:szCs w:val="18"/>
              </w:rPr>
            </w:pPr>
          </w:p>
        </w:tc>
        <w:tc>
          <w:tcPr>
            <w:tcW w:w="6807"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w w:val="90"/>
                <w:sz w:val="15"/>
                <w:szCs w:val="15"/>
              </w:rPr>
              <w:t>□</w:t>
            </w:r>
            <w:r>
              <w:rPr>
                <w:rFonts w:hint="eastAsia" w:ascii="宋体" w:hAnsi="宋体" w:eastAsia="宋体" w:cs="宋体"/>
                <w:sz w:val="15"/>
                <w:szCs w:val="15"/>
                <w:lang w:eastAsia="zh-CN"/>
              </w:rPr>
              <w:t>停车数量在300辆以上或者建筑面积大于10000平方米独立建造的经营性汽车库，车位数大于60个或者建筑面积大于3000平方米的修车库，停车数量在200辆以上的公交车、客车停车场；室内集中布置充电设备且建筑面积在1000平方米以上的电动汽车充电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w w:val="90"/>
                <w:sz w:val="15"/>
                <w:szCs w:val="15"/>
              </w:rPr>
              <w:t>□</w:t>
            </w:r>
            <w:r>
              <w:rPr>
                <w:rFonts w:hint="eastAsia" w:ascii="宋体" w:hAnsi="宋体" w:eastAsia="宋体" w:cs="宋体"/>
                <w:sz w:val="15"/>
                <w:szCs w:val="15"/>
                <w:lang w:eastAsia="zh-CN"/>
              </w:rPr>
              <w:t>省级以上司法部门直属的监狱和行政戒毒场所。</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w w:val="90"/>
                <w:sz w:val="15"/>
                <w:szCs w:val="15"/>
              </w:rPr>
              <w:t>□</w:t>
            </w:r>
            <w:r>
              <w:rPr>
                <w:rFonts w:hint="eastAsia" w:ascii="宋体" w:hAnsi="宋体" w:eastAsia="宋体" w:cs="宋体"/>
                <w:sz w:val="15"/>
                <w:szCs w:val="15"/>
                <w:lang w:eastAsia="zh-CN"/>
              </w:rPr>
              <w:t>固定资产（建筑、设备、原材料等）价值在2亿元以上的工业企业。</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sz w:val="15"/>
                <w:szCs w:val="15"/>
                <w:lang w:eastAsia="zh-CN"/>
              </w:rPr>
              <w:t>成都市固定资产（建筑、设备、原材料等）价值在5亿元以上的工业企业。</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w w:val="90"/>
                <w:sz w:val="15"/>
                <w:szCs w:val="15"/>
              </w:rPr>
              <w:t>□</w:t>
            </w:r>
            <w:r>
              <w:rPr>
                <w:rFonts w:hint="eastAsia" w:ascii="宋体" w:hAnsi="宋体" w:eastAsia="宋体" w:cs="宋体"/>
                <w:sz w:val="15"/>
                <w:szCs w:val="15"/>
                <w:lang w:eastAsia="zh-CN"/>
              </w:rPr>
              <w:t>央行、商业银行的分行级以上分支机构。</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w w:val="90"/>
                <w:sz w:val="15"/>
                <w:szCs w:val="15"/>
              </w:rPr>
              <w:t>□</w:t>
            </w:r>
            <w:r>
              <w:rPr>
                <w:rFonts w:hint="eastAsia" w:ascii="宋体" w:hAnsi="宋体" w:eastAsia="宋体" w:cs="宋体"/>
                <w:sz w:val="15"/>
                <w:szCs w:val="15"/>
                <w:lang w:eastAsia="zh-CN"/>
              </w:rPr>
              <w:t>4A级以上旅游景区。</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w w:val="90"/>
                <w:sz w:val="15"/>
                <w:szCs w:val="15"/>
              </w:rPr>
              <w:t>□</w:t>
            </w:r>
            <w:r>
              <w:rPr>
                <w:rFonts w:hint="eastAsia" w:ascii="宋体" w:hAnsi="宋体" w:eastAsia="宋体" w:cs="宋体"/>
                <w:sz w:val="15"/>
                <w:szCs w:val="15"/>
                <w:lang w:eastAsia="zh-CN"/>
              </w:rPr>
              <w:t>建筑面积在50000平方米以上的大型商业综合体。</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15"/>
                <w:szCs w:val="15"/>
                <w:lang w:eastAsia="zh-CN"/>
              </w:rPr>
            </w:pPr>
            <w:r>
              <w:rPr>
                <w:rFonts w:hint="eastAsia" w:ascii="宋体" w:hAnsi="宋体" w:eastAsia="宋体" w:cs="宋体"/>
                <w:w w:val="90"/>
                <w:sz w:val="15"/>
                <w:szCs w:val="15"/>
              </w:rPr>
              <w:t>□</w:t>
            </w:r>
            <w:r>
              <w:rPr>
                <w:rFonts w:hint="eastAsia" w:ascii="宋体" w:hAnsi="宋体" w:eastAsia="宋体" w:cs="宋体"/>
                <w:sz w:val="15"/>
                <w:szCs w:val="15"/>
                <w:lang w:eastAsia="zh-CN"/>
              </w:rPr>
              <w:t>城市轨道交通换乘站。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5" w:hRule="atLeast"/>
          <w:jc w:val="center"/>
        </w:trPr>
        <w:tc>
          <w:tcPr>
            <w:tcW w:w="9264" w:type="dxa"/>
            <w:gridSpan w:val="5"/>
            <w:vAlign w:val="top"/>
          </w:tcPr>
          <w:p>
            <w:pPr>
              <w:jc w:val="center"/>
              <w:rPr>
                <w:rFonts w:hint="eastAsia" w:ascii="仿宋_GB2312" w:eastAsia="仿宋_GB2312"/>
                <w:color w:val="FF0000"/>
              </w:rPr>
            </w:pPr>
            <w:r>
              <w:rPr>
                <w:rFonts w:hint="eastAsia" w:ascii="仿宋_GB2312" w:eastAsia="仿宋_GB2312"/>
              </w:rPr>
              <w:t>根据</w:t>
            </w:r>
            <w:r>
              <w:rPr>
                <w:rFonts w:hint="eastAsia" w:ascii="仿宋_GB2312" w:eastAsia="仿宋_GB2312"/>
                <w:lang w:eastAsia="zh-CN"/>
              </w:rPr>
              <w:t>四川省消防救援总队</w:t>
            </w:r>
            <w:r>
              <w:rPr>
                <w:rFonts w:hint="eastAsia" w:ascii="仿宋_GB2312" w:eastAsia="仿宋_GB2312"/>
              </w:rPr>
              <w:t>川消〔2023〕146号《四川省消防安全重点单位界定标准（试行）》</w:t>
            </w:r>
            <w:r>
              <w:rPr>
                <w:rFonts w:hint="eastAsia" w:ascii="仿宋_GB2312" w:eastAsia="仿宋_GB2312"/>
                <w:lang w:eastAsia="zh-CN"/>
              </w:rPr>
              <w:t>的通知</w:t>
            </w:r>
            <w:r>
              <w:rPr>
                <w:rFonts w:hint="eastAsia" w:ascii="仿宋_GB2312" w:eastAsia="仿宋_GB2312"/>
              </w:rPr>
              <w:t>，我单位属消防安全重点单位范围之内，</w:t>
            </w:r>
            <w:r>
              <w:rPr>
                <w:rFonts w:hint="eastAsia" w:ascii="仿宋_GB2312" w:eastAsia="仿宋_GB2312"/>
                <w:color w:val="FF0000"/>
              </w:rPr>
              <w:t>现申报备案。</w:t>
            </w:r>
          </w:p>
          <w:p>
            <w:pPr>
              <w:jc w:val="center"/>
              <w:rPr>
                <w:rFonts w:hint="eastAsia" w:ascii="仿宋_GB2312" w:eastAsia="仿宋_GB2312"/>
                <w:color w:val="FF0000"/>
              </w:rPr>
            </w:pPr>
            <w:r>
              <w:rPr>
                <w:rFonts w:hint="eastAsia" w:ascii="仿宋_GB2312" w:eastAsia="仿宋_GB2312"/>
                <w:color w:val="FF0000"/>
              </w:rPr>
              <w:t>单位（盖章）</w:t>
            </w:r>
          </w:p>
          <w:p>
            <w:pPr>
              <w:jc w:val="center"/>
              <w:rPr>
                <w:rFonts w:hint="eastAsia" w:ascii="仿宋_GB2312" w:eastAsia="仿宋_GB2312"/>
                <w:color w:val="FF0000"/>
              </w:rPr>
            </w:pPr>
          </w:p>
          <w:p>
            <w:pPr>
              <w:jc w:val="center"/>
              <w:rPr>
                <w:rFonts w:hint="eastAsia" w:ascii="仿宋_GB2312" w:eastAsia="仿宋_GB2312"/>
              </w:rPr>
            </w:pPr>
            <w:r>
              <w:rPr>
                <w:rFonts w:hint="eastAsia" w:ascii="仿宋_GB2312" w:eastAsia="仿宋_GB2312"/>
                <w:color w:val="FF0000"/>
              </w:rPr>
              <w:t xml:space="preserve">法定代表人（签名）              </w:t>
            </w:r>
            <w:r>
              <w:rPr>
                <w:rFonts w:ascii="仿宋_GB2312" w:eastAsia="仿宋_GB2312"/>
                <w:color w:val="FF0000"/>
              </w:rPr>
              <w:t xml:space="preserve">       </w:t>
            </w:r>
            <w:r>
              <w:rPr>
                <w:rFonts w:hint="eastAsia" w:ascii="仿宋_GB2312" w:eastAsia="仿宋_GB2312"/>
                <w:color w:val="FF0000"/>
              </w:rPr>
              <w:t xml:space="preserve"> 年</w:t>
            </w:r>
            <w:r>
              <w:rPr>
                <w:rFonts w:ascii="仿宋_GB2312" w:eastAsia="仿宋_GB2312"/>
                <w:color w:val="FF0000"/>
              </w:rPr>
              <w:t xml:space="preserve">   </w:t>
            </w:r>
            <w:r>
              <w:rPr>
                <w:rFonts w:hint="eastAsia" w:ascii="仿宋_GB2312" w:eastAsia="仿宋_GB2312"/>
                <w:color w:val="FF0000"/>
              </w:rPr>
              <w:t>月</w:t>
            </w:r>
            <w:r>
              <w:rPr>
                <w:rFonts w:ascii="仿宋_GB2312" w:eastAsia="仿宋_GB2312"/>
                <w:color w:val="FF0000"/>
              </w:rPr>
              <w:t xml:space="preserve">    </w:t>
            </w:r>
            <w:r>
              <w:rPr>
                <w:rFonts w:hint="eastAsia" w:ascii="仿宋_GB2312" w:eastAsia="仿宋_GB2312"/>
                <w:color w:val="FF0000"/>
              </w:rPr>
              <w:t>日</w:t>
            </w:r>
          </w:p>
        </w:tc>
      </w:tr>
    </w:tbl>
    <w:p>
      <w:pPr>
        <w:jc w:val="left"/>
      </w:pPr>
      <w:r>
        <w:rPr>
          <w:rFonts w:hint="eastAsia"/>
          <w:color w:val="FF0000"/>
        </w:rPr>
        <w:t>注： 1、各单位自行对照，并在申报单位属性栏内选择一项打“</w:t>
      </w:r>
      <w:r>
        <w:rPr>
          <w:rFonts w:hint="eastAsia" w:ascii="宋体"/>
          <w:color w:val="FF0000"/>
        </w:rPr>
        <w:t>√</w:t>
      </w:r>
      <w:r>
        <w:rPr>
          <w:rFonts w:hint="eastAsia"/>
          <w:color w:val="FF0000"/>
        </w:rPr>
        <w:t>”。</w:t>
      </w:r>
    </w:p>
    <w:p>
      <w:pPr>
        <w:rPr>
          <w:rFonts w:hint="default"/>
          <w:lang w:val="en-US" w:eastAsia="zh-CN"/>
        </w:rPr>
      </w:pPr>
    </w:p>
    <w:p>
      <w:pPr>
        <w:pStyle w:val="17"/>
        <w:rPr>
          <w:rFonts w:hint="default"/>
          <w:lang w:val="en-US" w:eastAsia="zh-CN"/>
        </w:rPr>
        <w:sectPr>
          <w:footerReference r:id="rId4" w:type="default"/>
          <w:pgSz w:w="11906" w:h="16838"/>
          <w:pgMar w:top="1440" w:right="1080" w:bottom="1440" w:left="1080" w:header="851" w:footer="992" w:gutter="0"/>
          <w:pgNumType w:fmt="decimal"/>
          <w:cols w:space="0" w:num="1"/>
          <w:rtlGutter w:val="0"/>
          <w:docGrid w:type="lines" w:linePitch="312" w:charSpace="0"/>
        </w:sect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b/>
          <w:bCs/>
          <w:sz w:val="32"/>
          <w:szCs w:val="32"/>
          <w:lang w:val="en-US" w:eastAsia="zh-CN"/>
        </w:rPr>
      </w:pPr>
      <w:r>
        <w:rPr>
          <w:rFonts w:hint="eastAsia"/>
          <w:b/>
          <w:bCs/>
          <w:sz w:val="32"/>
          <w:szCs w:val="32"/>
          <w:lang w:val="en-US" w:eastAsia="zh-CN"/>
        </w:rPr>
        <w:t>附件3</w:t>
      </w:r>
    </w:p>
    <w:p>
      <w:pPr>
        <w:pStyle w:val="9"/>
        <w:spacing w:line="560" w:lineRule="exact"/>
        <w:jc w:val="center"/>
        <w:rPr>
          <w:rFonts w:hint="eastAsia" w:ascii="黑体" w:eastAsia="黑体"/>
          <w:b/>
          <w:sz w:val="36"/>
          <w:szCs w:val="36"/>
          <w:lang w:val="en-US" w:eastAsia="zh-CN"/>
        </w:rPr>
      </w:pPr>
      <w:r>
        <w:rPr>
          <w:rFonts w:hint="eastAsia" w:ascii="黑体" w:eastAsia="黑体"/>
          <w:b/>
          <w:sz w:val="36"/>
          <w:szCs w:val="36"/>
          <w:lang w:val="en-US" w:eastAsia="zh-CN"/>
        </w:rPr>
        <w:t>2024年度消防安全重点单位申报工作联系方式</w:t>
      </w:r>
    </w:p>
    <w:p>
      <w:pPr>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t>联系人：仪陇县消防救援大队</w:t>
      </w:r>
    </w:p>
    <w:p>
      <w:pPr>
        <w:rPr>
          <w:rFonts w:hint="eastAsia"/>
          <w:b/>
          <w:bCs/>
          <w:sz w:val="32"/>
          <w:szCs w:val="32"/>
          <w:lang w:val="en-US" w:eastAsia="zh-CN"/>
        </w:rPr>
      </w:pPr>
      <w:r>
        <w:rPr>
          <w:rFonts w:hint="eastAsia"/>
          <w:b/>
          <w:bCs/>
          <w:sz w:val="32"/>
          <w:szCs w:val="32"/>
          <w:lang w:val="en-US" w:eastAsia="zh-CN"/>
        </w:rPr>
        <w:t>地址：仪陇县春晖路119号</w:t>
      </w:r>
    </w:p>
    <w:p>
      <w:pPr>
        <w:rPr>
          <w:rFonts w:hint="eastAsia"/>
          <w:b/>
          <w:bCs/>
          <w:sz w:val="32"/>
          <w:szCs w:val="32"/>
          <w:lang w:val="en-US" w:eastAsia="zh-CN"/>
        </w:rPr>
      </w:pPr>
      <w:r>
        <w:rPr>
          <w:rFonts w:hint="eastAsia"/>
          <w:b/>
          <w:bCs/>
          <w:sz w:val="32"/>
          <w:szCs w:val="32"/>
          <w:lang w:val="en-US" w:eastAsia="zh-CN"/>
        </w:rPr>
        <w:t>联系电话：0817-7211119</w:t>
      </w:r>
    </w:p>
    <w:p>
      <w:pPr>
        <w:rPr>
          <w:rFonts w:hint="eastAsia"/>
          <w:b/>
          <w:bCs/>
          <w:sz w:val="32"/>
          <w:szCs w:val="32"/>
          <w:lang w:val="en-US" w:eastAsia="zh-CN"/>
        </w:rPr>
      </w:pPr>
      <w:r>
        <w:rPr>
          <w:rFonts w:hint="eastAsia"/>
          <w:b/>
          <w:bCs/>
          <w:sz w:val="32"/>
          <w:szCs w:val="32"/>
          <w:lang w:val="en-US" w:eastAsia="zh-CN"/>
        </w:rPr>
        <w:t>邮箱：202851285@qq.com</w:t>
      </w:r>
    </w:p>
    <w:p>
      <w:pPr>
        <w:bidi w:val="0"/>
        <w:rPr>
          <w:rFonts w:hint="default" w:ascii="方正仿宋_GBK" w:hAnsi="方正仿宋_GBK" w:eastAsia="方正仿宋_GBK" w:cs="方正仿宋_GBK"/>
          <w:b w:val="0"/>
          <w:bCs w:val="0"/>
          <w:color w:val="auto"/>
          <w:sz w:val="10"/>
          <w:szCs w:val="10"/>
          <w:lang w:val="en-US" w:eastAsia="zh-CN"/>
        </w:rPr>
      </w:pPr>
    </w:p>
    <w:p>
      <w:pPr>
        <w:bidi w:val="0"/>
        <w:rPr>
          <w:rFonts w:hint="default" w:ascii="方正仿宋_GBK" w:hAnsi="方正仿宋_GBK" w:eastAsia="方正仿宋_GBK" w:cs="方正仿宋_GBK"/>
          <w:b w:val="0"/>
          <w:bCs w:val="0"/>
          <w:color w:val="auto"/>
          <w:sz w:val="10"/>
          <w:szCs w:val="10"/>
          <w:lang w:val="en-US" w:eastAsia="zh-CN"/>
        </w:rPr>
      </w:pPr>
    </w:p>
    <w:p>
      <w:pPr>
        <w:bidi w:val="0"/>
        <w:rPr>
          <w:rFonts w:hint="default" w:ascii="方正仿宋_GBK" w:hAnsi="方正仿宋_GBK" w:eastAsia="方正仿宋_GBK" w:cs="方正仿宋_GBK"/>
          <w:b w:val="0"/>
          <w:bCs w:val="0"/>
          <w:color w:val="auto"/>
          <w:sz w:val="10"/>
          <w:szCs w:val="10"/>
          <w:lang w:val="en-US" w:eastAsia="zh-CN"/>
        </w:rPr>
      </w:pPr>
    </w:p>
    <w:p>
      <w:pPr>
        <w:bidi w:val="0"/>
        <w:rPr>
          <w:rFonts w:hint="default" w:ascii="方正仿宋_GBK" w:hAnsi="方正仿宋_GBK" w:eastAsia="方正仿宋_GBK" w:cs="方正仿宋_GBK"/>
          <w:b w:val="0"/>
          <w:bCs w:val="0"/>
          <w:color w:val="auto"/>
          <w:sz w:val="10"/>
          <w:szCs w:val="10"/>
          <w:lang w:val="en-US" w:eastAsia="zh-CN"/>
        </w:rPr>
      </w:pPr>
    </w:p>
    <w:p>
      <w:pPr>
        <w:bidi w:val="0"/>
        <w:rPr>
          <w:rFonts w:hint="default" w:ascii="方正仿宋_GBK" w:hAnsi="方正仿宋_GBK" w:eastAsia="方正仿宋_GBK" w:cs="方正仿宋_GBK"/>
          <w:b w:val="0"/>
          <w:bCs w:val="0"/>
          <w:color w:val="auto"/>
          <w:sz w:val="10"/>
          <w:szCs w:val="10"/>
          <w:lang w:val="en-US" w:eastAsia="zh-CN"/>
        </w:rPr>
      </w:pPr>
    </w:p>
    <w:p>
      <w:pPr>
        <w:bidi w:val="0"/>
        <w:rPr>
          <w:rFonts w:hint="default" w:ascii="方正仿宋_GBK" w:hAnsi="方正仿宋_GBK" w:eastAsia="方正仿宋_GBK" w:cs="方正仿宋_GBK"/>
          <w:b w:val="0"/>
          <w:bCs w:val="0"/>
          <w:color w:val="auto"/>
          <w:sz w:val="10"/>
          <w:szCs w:val="10"/>
          <w:lang w:val="en-US" w:eastAsia="zh-CN"/>
        </w:rPr>
      </w:pPr>
    </w:p>
    <w:p>
      <w:pPr>
        <w:pStyle w:val="2"/>
        <w:rPr>
          <w:rFonts w:hint="default" w:ascii="方正仿宋_GBK" w:hAnsi="方正仿宋_GBK" w:eastAsia="方正仿宋_GBK" w:cs="方正仿宋_GBK"/>
          <w:b w:val="0"/>
          <w:bCs w:val="0"/>
          <w:color w:val="auto"/>
          <w:sz w:val="10"/>
          <w:szCs w:val="10"/>
          <w:lang w:val="en-US" w:eastAsia="zh-CN"/>
        </w:rPr>
      </w:pPr>
    </w:p>
    <w:p>
      <w:pPr>
        <w:rPr>
          <w:rFonts w:hint="default" w:ascii="方正仿宋_GBK" w:hAnsi="方正仿宋_GBK" w:eastAsia="方正仿宋_GBK" w:cs="方正仿宋_GBK"/>
          <w:b w:val="0"/>
          <w:bCs w:val="0"/>
          <w:color w:val="auto"/>
          <w:sz w:val="10"/>
          <w:szCs w:val="10"/>
          <w:lang w:val="en-US" w:eastAsia="zh-CN"/>
        </w:rPr>
      </w:pPr>
    </w:p>
    <w:p>
      <w:pPr>
        <w:pStyle w:val="2"/>
        <w:rPr>
          <w:rFonts w:hint="default" w:ascii="方正仿宋_GBK" w:hAnsi="方正仿宋_GBK" w:eastAsia="方正仿宋_GBK" w:cs="方正仿宋_GBK"/>
          <w:b w:val="0"/>
          <w:bCs w:val="0"/>
          <w:color w:val="auto"/>
          <w:sz w:val="10"/>
          <w:szCs w:val="10"/>
          <w:lang w:val="en-US" w:eastAsia="zh-CN"/>
        </w:rPr>
      </w:pPr>
    </w:p>
    <w:p>
      <w:pPr>
        <w:rPr>
          <w:rFonts w:hint="default" w:ascii="方正仿宋_GBK" w:hAnsi="方正仿宋_GBK" w:eastAsia="方正仿宋_GBK" w:cs="方正仿宋_GBK"/>
          <w:b w:val="0"/>
          <w:bCs w:val="0"/>
          <w:color w:val="auto"/>
          <w:sz w:val="10"/>
          <w:szCs w:val="10"/>
          <w:lang w:val="en-US" w:eastAsia="zh-CN"/>
        </w:rPr>
      </w:pPr>
    </w:p>
    <w:p>
      <w:pPr>
        <w:pStyle w:val="2"/>
        <w:rPr>
          <w:rFonts w:hint="default" w:ascii="方正仿宋_GBK" w:hAnsi="方正仿宋_GBK" w:eastAsia="方正仿宋_GBK" w:cs="方正仿宋_GBK"/>
          <w:b w:val="0"/>
          <w:bCs w:val="0"/>
          <w:color w:val="auto"/>
          <w:sz w:val="10"/>
          <w:szCs w:val="10"/>
          <w:lang w:val="en-US" w:eastAsia="zh-CN"/>
        </w:rPr>
      </w:pPr>
    </w:p>
    <w:p>
      <w:pPr>
        <w:rPr>
          <w:rFonts w:hint="default" w:ascii="方正仿宋_GBK" w:hAnsi="方正仿宋_GBK" w:eastAsia="方正仿宋_GBK" w:cs="方正仿宋_GBK"/>
          <w:b w:val="0"/>
          <w:bCs w:val="0"/>
          <w:color w:val="auto"/>
          <w:sz w:val="10"/>
          <w:szCs w:val="10"/>
          <w:lang w:val="en-US" w:eastAsia="zh-CN"/>
        </w:rPr>
      </w:pPr>
    </w:p>
    <w:p>
      <w:pPr>
        <w:pStyle w:val="2"/>
        <w:rPr>
          <w:rFonts w:hint="default" w:ascii="方正仿宋_GBK" w:hAnsi="方正仿宋_GBK" w:eastAsia="方正仿宋_GBK" w:cs="方正仿宋_GBK"/>
          <w:b w:val="0"/>
          <w:bCs w:val="0"/>
          <w:color w:val="auto"/>
          <w:sz w:val="10"/>
          <w:szCs w:val="10"/>
          <w:lang w:val="en-US" w:eastAsia="zh-CN"/>
        </w:rPr>
      </w:pPr>
    </w:p>
    <w:p>
      <w:pPr>
        <w:rPr>
          <w:rFonts w:hint="default" w:ascii="方正仿宋_GBK" w:hAnsi="方正仿宋_GBK" w:eastAsia="方正仿宋_GBK" w:cs="方正仿宋_GBK"/>
          <w:b w:val="0"/>
          <w:bCs w:val="0"/>
          <w:color w:val="auto"/>
          <w:sz w:val="10"/>
          <w:szCs w:val="10"/>
          <w:lang w:val="en-US" w:eastAsia="zh-CN"/>
        </w:rPr>
      </w:pPr>
    </w:p>
    <w:p>
      <w:pPr>
        <w:pStyle w:val="2"/>
        <w:rPr>
          <w:rFonts w:hint="default" w:ascii="方正仿宋_GBK" w:hAnsi="方正仿宋_GBK" w:eastAsia="方正仿宋_GBK" w:cs="方正仿宋_GBK"/>
          <w:b w:val="0"/>
          <w:bCs w:val="0"/>
          <w:color w:val="auto"/>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方正仿宋_GBK" w:hAnsi="方正仿宋_GBK" w:eastAsia="方正仿宋_GBK" w:cs="方正仿宋_GBK"/>
          <w:b w:val="0"/>
          <w:bCs w:val="0"/>
          <w:color w:val="auto"/>
          <w:sz w:val="10"/>
          <w:szCs w:val="10"/>
          <w:lang w:val="en-US" w:eastAsia="zh-CN"/>
        </w:rPr>
      </w:pPr>
    </w:p>
    <w:p>
      <w:pPr>
        <w:pStyle w:val="2"/>
        <w:rPr>
          <w:rFonts w:hint="default" w:ascii="方正仿宋_GBK" w:hAnsi="方正仿宋_GBK" w:eastAsia="方正仿宋_GBK" w:cs="方正仿宋_GBK"/>
          <w:b w:val="0"/>
          <w:bCs w:val="0"/>
          <w:color w:val="auto"/>
          <w:sz w:val="10"/>
          <w:szCs w:val="10"/>
          <w:lang w:val="en-US" w:eastAsia="zh-CN"/>
        </w:rPr>
      </w:pPr>
    </w:p>
    <w:p>
      <w:pPr>
        <w:pStyle w:val="2"/>
        <w:ind w:left="0" w:leftChars="0" w:firstLine="0" w:firstLineChars="0"/>
        <w:rPr>
          <w:rFonts w:hint="default"/>
          <w:lang w:val="en-US" w:eastAsia="zh-CN"/>
        </w:rPr>
      </w:pPr>
    </w:p>
    <w:p>
      <w:pPr>
        <w:bidi w:val="0"/>
        <w:rPr>
          <w:rFonts w:hint="default" w:ascii="方正仿宋_GBK" w:hAnsi="方正仿宋_GBK" w:eastAsia="方正仿宋_GBK" w:cs="方正仿宋_GBK"/>
          <w:b w:val="0"/>
          <w:bCs w:val="0"/>
          <w:color w:val="auto"/>
          <w:sz w:val="10"/>
          <w:szCs w:val="10"/>
          <w:lang w:val="en-US" w:eastAsia="zh-CN"/>
        </w:rPr>
      </w:pPr>
    </w:p>
    <w:p>
      <w:pPr>
        <w:bidi w:val="0"/>
        <w:rPr>
          <w:rFonts w:hint="default" w:ascii="方正仿宋_GBK" w:hAnsi="方正仿宋_GBK" w:eastAsia="方正仿宋_GBK" w:cs="方正仿宋_GBK"/>
          <w:b w:val="0"/>
          <w:bCs w:val="0"/>
          <w:color w:val="auto"/>
          <w:sz w:val="10"/>
          <w:szCs w:val="10"/>
          <w:lang w:val="en-US" w:eastAsia="zh-CN"/>
        </w:rPr>
      </w:pPr>
    </w:p>
    <w:p>
      <w:pPr>
        <w:bidi w:val="0"/>
        <w:ind w:firstLine="210" w:firstLineChars="100"/>
        <w:jc w:val="left"/>
        <w:rPr>
          <w:rFonts w:hint="default"/>
          <w:lang w:val="en-US" w:eastAsia="zh-CN"/>
        </w:rPr>
      </w:pPr>
    </w:p>
    <w:sectPr>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728EF7-AE26-4900-ACED-C429A8692A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2" w:fontKey="{A5A9B929-2D7F-47F8-8FD9-333CCD12C747}"/>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0B00B550-3E4D-406B-A047-84CEC09B7F42}"/>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embedRegular r:id="rId4" w:fontKey="{9E1F96CC-DB92-4CE6-80D1-3EA55A9004EF}"/>
  </w:font>
  <w:font w:name="方正黑体_GBK">
    <w:panose1 w:val="03000509000000000000"/>
    <w:charset w:val="86"/>
    <w:family w:val="auto"/>
    <w:pitch w:val="default"/>
    <w:sig w:usb0="00000001" w:usb1="080E0000" w:usb2="00000000" w:usb3="00000000" w:csb0="00040000" w:csb1="00000000"/>
    <w:embedRegular r:id="rId5" w:fontKey="{17F5A17C-58F0-4F8E-A19E-DAEA7ADB82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-170815</wp:posOffset>
              </wp:positionV>
              <wp:extent cx="808355" cy="357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08355" cy="357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45pt;height:28.15pt;width:63.65pt;mso-position-horizontal:outside;mso-position-horizontal-relative:margin;z-index:251666432;mso-width-relative:page;mso-height-relative:page;" filled="f" stroked="f" coordsize="21600,21600" o:gfxdata="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rIbO1gAAAAcBAAAP&#10;AAAAAAAAAAEAIAAAACIAAABkcnMvZG93bnJldi54bWxQSwECFAAUAAAACACHTuJActPGyhoCAAAV&#10;BAAADgAAAAAAAAABACAAAAAlAQAAZHJzL2Uyb0RvYy54bWxQSwUGAAAAAAYABgBZAQAAsQUAAAAA&#10;">
              <v:fill on="f" focussize="0,0"/>
              <v:stroke on="f" weight="0.5pt"/>
              <v:imagedata o:title=""/>
              <o:lock v:ext="edit" aspectratio="f"/>
              <v:textbox inset="0mm,0mm,0mm,0mm">
                <w:txbxContent>
                  <w:p>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4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44"/>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-144780</wp:posOffset>
              </wp:positionV>
              <wp:extent cx="808355" cy="357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8355" cy="357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4pt;height:28.15pt;width:63.65pt;mso-position-horizontal:outside;mso-position-horizontal-relative:margin;z-index:251663360;mso-width-relative:page;mso-height-relative:page;" filled="f" stroked="f" coordsize="21600,21600" o:gfxdata="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jYgq1gAAAAcBAAAP&#10;AAAAAAAAAAEAIAAAACIAAABkcnMvZG93bnJldi54bWxQSwECFAAUAAAACACHTuJAt4WYzhoCAAAV&#10;BAAADgAAAAAAAAABACAAAAAlAQAAZHJzL2Uyb0RvYy54bWxQSwUGAAAAAAYABgBZAQAAsQUAAAAA&#10;">
              <v:fill on="f" focussize="0,0"/>
              <v:stroke on="f" weight="0.5pt"/>
              <v:imagedata o:title=""/>
              <o:lock v:ext="edit" aspectratio="f"/>
              <v:textbox inset="0mm,0mm,0mm,0mm">
                <w:txbxContent>
                  <w:p>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4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44"/>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TRhNjhjMDQ2MDU1YThmYTQzMjgzYmRhN2ExYTIifQ=="/>
  </w:docVars>
  <w:rsids>
    <w:rsidRoot w:val="5F602EEA"/>
    <w:rsid w:val="00B431BC"/>
    <w:rsid w:val="011768D6"/>
    <w:rsid w:val="011D6260"/>
    <w:rsid w:val="02001B39"/>
    <w:rsid w:val="026545B2"/>
    <w:rsid w:val="028F6E49"/>
    <w:rsid w:val="038E27E2"/>
    <w:rsid w:val="058B6DA4"/>
    <w:rsid w:val="06755670"/>
    <w:rsid w:val="077F04D9"/>
    <w:rsid w:val="08131C7A"/>
    <w:rsid w:val="089E70ED"/>
    <w:rsid w:val="08E54928"/>
    <w:rsid w:val="09691834"/>
    <w:rsid w:val="0B1F5764"/>
    <w:rsid w:val="0B20514C"/>
    <w:rsid w:val="0B53367A"/>
    <w:rsid w:val="0B8067AB"/>
    <w:rsid w:val="0C307793"/>
    <w:rsid w:val="0CBC4E42"/>
    <w:rsid w:val="0F20565C"/>
    <w:rsid w:val="0F22544E"/>
    <w:rsid w:val="0F830A01"/>
    <w:rsid w:val="0F8B02EB"/>
    <w:rsid w:val="0FEE6FAE"/>
    <w:rsid w:val="101628E3"/>
    <w:rsid w:val="10841832"/>
    <w:rsid w:val="116E3885"/>
    <w:rsid w:val="12995C93"/>
    <w:rsid w:val="12BC68A9"/>
    <w:rsid w:val="13124715"/>
    <w:rsid w:val="13C10D4C"/>
    <w:rsid w:val="151C212F"/>
    <w:rsid w:val="15591D42"/>
    <w:rsid w:val="15663375"/>
    <w:rsid w:val="160C4B4A"/>
    <w:rsid w:val="16184950"/>
    <w:rsid w:val="16C45081"/>
    <w:rsid w:val="16D47F76"/>
    <w:rsid w:val="17B57BF4"/>
    <w:rsid w:val="188E6FB5"/>
    <w:rsid w:val="18BF0E6D"/>
    <w:rsid w:val="1A63022D"/>
    <w:rsid w:val="1B142779"/>
    <w:rsid w:val="1B776F9B"/>
    <w:rsid w:val="1B804DAA"/>
    <w:rsid w:val="1BB15713"/>
    <w:rsid w:val="1D662480"/>
    <w:rsid w:val="1DD86B05"/>
    <w:rsid w:val="1DEE0141"/>
    <w:rsid w:val="1E8E2DB0"/>
    <w:rsid w:val="1ECA1FCC"/>
    <w:rsid w:val="1EDD63B3"/>
    <w:rsid w:val="1F6A784E"/>
    <w:rsid w:val="21550FB1"/>
    <w:rsid w:val="215B41C8"/>
    <w:rsid w:val="22A53ACC"/>
    <w:rsid w:val="23723BF1"/>
    <w:rsid w:val="258C2605"/>
    <w:rsid w:val="26C24016"/>
    <w:rsid w:val="270E1A19"/>
    <w:rsid w:val="2748463E"/>
    <w:rsid w:val="278D6663"/>
    <w:rsid w:val="27984E2F"/>
    <w:rsid w:val="28C07A61"/>
    <w:rsid w:val="29B11D74"/>
    <w:rsid w:val="29C9741A"/>
    <w:rsid w:val="29EF41EC"/>
    <w:rsid w:val="2B4B0B89"/>
    <w:rsid w:val="2B5D343C"/>
    <w:rsid w:val="2BB1446D"/>
    <w:rsid w:val="2C652278"/>
    <w:rsid w:val="2C922DB5"/>
    <w:rsid w:val="2D025963"/>
    <w:rsid w:val="2D2875D0"/>
    <w:rsid w:val="2D3E1A91"/>
    <w:rsid w:val="2DC73D3E"/>
    <w:rsid w:val="2E11525E"/>
    <w:rsid w:val="2E5F0331"/>
    <w:rsid w:val="2E8943FF"/>
    <w:rsid w:val="2F110F46"/>
    <w:rsid w:val="2F1F212F"/>
    <w:rsid w:val="30CF2F7C"/>
    <w:rsid w:val="310502CF"/>
    <w:rsid w:val="319F5DC8"/>
    <w:rsid w:val="32AD41D4"/>
    <w:rsid w:val="33AA0350"/>
    <w:rsid w:val="347D4210"/>
    <w:rsid w:val="34A531A0"/>
    <w:rsid w:val="34AC632E"/>
    <w:rsid w:val="3523584D"/>
    <w:rsid w:val="35D93097"/>
    <w:rsid w:val="37C2178A"/>
    <w:rsid w:val="386A1BBC"/>
    <w:rsid w:val="38D44D8C"/>
    <w:rsid w:val="38DD3943"/>
    <w:rsid w:val="39627BB1"/>
    <w:rsid w:val="3BFC6BAF"/>
    <w:rsid w:val="3C343DCE"/>
    <w:rsid w:val="3CA228E3"/>
    <w:rsid w:val="3D1F49A2"/>
    <w:rsid w:val="3D7F0E1C"/>
    <w:rsid w:val="3DD967D4"/>
    <w:rsid w:val="3F850146"/>
    <w:rsid w:val="3F865BC8"/>
    <w:rsid w:val="3FF74C02"/>
    <w:rsid w:val="41162B3F"/>
    <w:rsid w:val="41692ECD"/>
    <w:rsid w:val="41F72149"/>
    <w:rsid w:val="42831D2D"/>
    <w:rsid w:val="42834D50"/>
    <w:rsid w:val="42DE63F1"/>
    <w:rsid w:val="44866F00"/>
    <w:rsid w:val="44890DFE"/>
    <w:rsid w:val="45392C8C"/>
    <w:rsid w:val="45B459CE"/>
    <w:rsid w:val="46171B2B"/>
    <w:rsid w:val="468034B7"/>
    <w:rsid w:val="46CD35B6"/>
    <w:rsid w:val="479D0F01"/>
    <w:rsid w:val="47EB1539"/>
    <w:rsid w:val="48333C12"/>
    <w:rsid w:val="48BC6665"/>
    <w:rsid w:val="4990728D"/>
    <w:rsid w:val="49B358F8"/>
    <w:rsid w:val="4A535285"/>
    <w:rsid w:val="4A9D70A2"/>
    <w:rsid w:val="4AC23B14"/>
    <w:rsid w:val="4BBD4A85"/>
    <w:rsid w:val="4C711F79"/>
    <w:rsid w:val="4CB23FED"/>
    <w:rsid w:val="4DC16A0A"/>
    <w:rsid w:val="4E2D4BE1"/>
    <w:rsid w:val="4EA02779"/>
    <w:rsid w:val="4EF923CC"/>
    <w:rsid w:val="4F095D5A"/>
    <w:rsid w:val="4F887D0E"/>
    <w:rsid w:val="4F982365"/>
    <w:rsid w:val="4FDA5E7D"/>
    <w:rsid w:val="518100C7"/>
    <w:rsid w:val="51BD19BC"/>
    <w:rsid w:val="525526EF"/>
    <w:rsid w:val="5270414C"/>
    <w:rsid w:val="5277121A"/>
    <w:rsid w:val="536651D5"/>
    <w:rsid w:val="53AA043E"/>
    <w:rsid w:val="54951FCB"/>
    <w:rsid w:val="56E755A0"/>
    <w:rsid w:val="57926D77"/>
    <w:rsid w:val="58242DA9"/>
    <w:rsid w:val="593955A1"/>
    <w:rsid w:val="5A050476"/>
    <w:rsid w:val="5A064026"/>
    <w:rsid w:val="5ACC5286"/>
    <w:rsid w:val="5BAF7A77"/>
    <w:rsid w:val="5C7C4CAA"/>
    <w:rsid w:val="5DB605C5"/>
    <w:rsid w:val="5E852A2B"/>
    <w:rsid w:val="5E984D55"/>
    <w:rsid w:val="5EAE2963"/>
    <w:rsid w:val="5F1A4F89"/>
    <w:rsid w:val="5F1C7FF7"/>
    <w:rsid w:val="5F602EEA"/>
    <w:rsid w:val="5FA16EE3"/>
    <w:rsid w:val="601F1A72"/>
    <w:rsid w:val="60DB2035"/>
    <w:rsid w:val="60E02AC1"/>
    <w:rsid w:val="61014267"/>
    <w:rsid w:val="610E3BF7"/>
    <w:rsid w:val="61DF5696"/>
    <w:rsid w:val="61F401C1"/>
    <w:rsid w:val="62036ABC"/>
    <w:rsid w:val="628756C8"/>
    <w:rsid w:val="63674FF7"/>
    <w:rsid w:val="63820323"/>
    <w:rsid w:val="6514655F"/>
    <w:rsid w:val="659C7B45"/>
    <w:rsid w:val="65A15EDC"/>
    <w:rsid w:val="65AA1556"/>
    <w:rsid w:val="66355E8D"/>
    <w:rsid w:val="670949B3"/>
    <w:rsid w:val="686C66B5"/>
    <w:rsid w:val="68981FA9"/>
    <w:rsid w:val="69962DC6"/>
    <w:rsid w:val="69D74EB4"/>
    <w:rsid w:val="69FA383B"/>
    <w:rsid w:val="6A090E5C"/>
    <w:rsid w:val="6A304CCB"/>
    <w:rsid w:val="6A6E1EE4"/>
    <w:rsid w:val="6AA40D85"/>
    <w:rsid w:val="6B2F0969"/>
    <w:rsid w:val="6BAB5D34"/>
    <w:rsid w:val="6C770022"/>
    <w:rsid w:val="6CA729CD"/>
    <w:rsid w:val="6D367A39"/>
    <w:rsid w:val="6D384C38"/>
    <w:rsid w:val="6DD753C4"/>
    <w:rsid w:val="6E03390A"/>
    <w:rsid w:val="6F2151D9"/>
    <w:rsid w:val="6FCE6ABA"/>
    <w:rsid w:val="6FFF2764"/>
    <w:rsid w:val="702E3174"/>
    <w:rsid w:val="707B3B46"/>
    <w:rsid w:val="70AF678E"/>
    <w:rsid w:val="71164124"/>
    <w:rsid w:val="712D2EBD"/>
    <w:rsid w:val="7174541E"/>
    <w:rsid w:val="71BC3298"/>
    <w:rsid w:val="73981CB2"/>
    <w:rsid w:val="73E77D16"/>
    <w:rsid w:val="74F41BE1"/>
    <w:rsid w:val="76886506"/>
    <w:rsid w:val="76CD47CB"/>
    <w:rsid w:val="77391378"/>
    <w:rsid w:val="776D16FC"/>
    <w:rsid w:val="77B210BD"/>
    <w:rsid w:val="785C1006"/>
    <w:rsid w:val="7BF56039"/>
    <w:rsid w:val="7C300D58"/>
    <w:rsid w:val="7C3100B1"/>
    <w:rsid w:val="7C551B8B"/>
    <w:rsid w:val="7CA4792E"/>
    <w:rsid w:val="7D72696B"/>
    <w:rsid w:val="7ECB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6">
    <w:name w:val="heading 4"/>
    <w:basedOn w:val="1"/>
    <w:next w:val="1"/>
    <w:qFormat/>
    <w:uiPriority w:val="0"/>
    <w:pPr>
      <w:keepNext/>
      <w:keepLines/>
      <w:jc w:val="left"/>
      <w:outlineLvl w:val="3"/>
    </w:pPr>
    <w:rPr>
      <w:rFonts w:hint="eastAsia" w:ascii="Arial" w:hAnsi="Arial"/>
      <w:b/>
      <w:sz w:val="32"/>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1"/>
    <w:unhideWhenUsed/>
    <w:qFormat/>
    <w:uiPriority w:val="0"/>
    <w:pPr>
      <w:ind w:firstLine="420" w:firstLineChars="200"/>
    </w:pPr>
    <w:rPr>
      <w:rFonts w:eastAsia="仿宋"/>
      <w:szCs w:val="24"/>
    </w:rPr>
  </w:style>
  <w:style w:type="paragraph" w:styleId="7">
    <w:name w:val="Body Text"/>
    <w:basedOn w:val="1"/>
    <w:next w:val="1"/>
    <w:qFormat/>
    <w:uiPriority w:val="0"/>
    <w:pPr>
      <w:spacing w:after="120"/>
    </w:pPr>
    <w:rPr>
      <w:rFonts w:ascii="Calibri" w:hAnsi="Calibri"/>
      <w:sz w:val="21"/>
      <w:szCs w:val="22"/>
    </w:rPr>
  </w:style>
  <w:style w:type="paragraph" w:styleId="8">
    <w:name w:val="toc 5"/>
    <w:basedOn w:val="1"/>
    <w:next w:val="1"/>
    <w:qFormat/>
    <w:uiPriority w:val="0"/>
    <w:pPr>
      <w:ind w:left="1680"/>
    </w:pPr>
  </w:style>
  <w:style w:type="paragraph" w:styleId="9">
    <w:name w:val="Plain Text"/>
    <w:basedOn w:val="1"/>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unhideWhenUsed/>
    <w:qFormat/>
    <w:uiPriority w:val="99"/>
    <w:pPr>
      <w:spacing w:line="300" w:lineRule="exact"/>
      <w:jc w:val="center"/>
    </w:pPr>
    <w:rPr>
      <w:w w:val="90"/>
      <w:sz w:val="24"/>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paragraph" w:customStyle="1" w:styleId="17">
    <w:name w:val="正文2"/>
    <w:basedOn w:val="1"/>
    <w:next w:val="1"/>
    <w:uiPriority w:val="0"/>
    <w:rPr>
      <w:rFonts w:ascii="Times New Roman" w:hAnsi="Times New Roman"/>
      <w:szCs w:val="21"/>
    </w:rPr>
  </w:style>
  <w:style w:type="paragraph" w:customStyle="1" w:styleId="18">
    <w:name w:val="Default"/>
    <w:basedOn w:val="19"/>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9">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20">
    <w:name w:val="标题 5（有编号）（绿盟科技）"/>
    <w:basedOn w:val="1"/>
    <w:next w:val="2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2">
    <w:name w:val="00公文标题"/>
    <w:basedOn w:val="1"/>
    <w:qFormat/>
    <w:uiPriority w:val="0"/>
    <w:pPr>
      <w:jc w:val="center"/>
    </w:pPr>
    <w:rPr>
      <w:rFonts w:ascii="Times" w:hAnsi="Times" w:eastAsia="微软雅黑"/>
      <w:sz w:val="44"/>
      <w:szCs w:val="32"/>
    </w:rPr>
  </w:style>
  <w:style w:type="paragraph" w:customStyle="1" w:styleId="23">
    <w:name w:val="正文文本1"/>
    <w:basedOn w:val="1"/>
    <w:qFormat/>
    <w:uiPriority w:val="0"/>
    <w:pPr>
      <w:shd w:val="clear" w:color="auto" w:fill="FFFFFF"/>
      <w:spacing w:line="360" w:lineRule="auto"/>
      <w:ind w:firstLine="400"/>
      <w:jc w:val="left"/>
    </w:pPr>
    <w:rPr>
      <w:rFonts w:ascii="MingLiU" w:hAnsi="MingLiU" w:eastAsia="MingLiU" w:cs="MingLiU"/>
      <w:kern w:val="0"/>
      <w:sz w:val="30"/>
      <w:szCs w:val="30"/>
      <w:lang w:val="zh-CN" w:bidi="zh-CN"/>
    </w:rPr>
  </w:style>
  <w:style w:type="paragraph" w:customStyle="1" w:styleId="24">
    <w:name w:val="15公文正文"/>
    <w:basedOn w:val="1"/>
    <w:qFormat/>
    <w:uiPriority w:val="0"/>
    <w:pPr>
      <w:snapToGrid w:val="0"/>
      <w:spacing w:line="600" w:lineRule="exact"/>
      <w:ind w:firstLine="880" w:firstLineChars="200"/>
      <w:jc w:val="both"/>
    </w:pPr>
    <w:rPr>
      <w:rFonts w:ascii="仿宋_GB2312" w:hAnsi="仿宋_GB2312" w:eastAsia="仿宋_GB2312" w:cs="黑体"/>
      <w:color w:val="auto"/>
      <w:sz w:val="32"/>
      <w:szCs w:val="21"/>
      <w:lang w:eastAsia="zh-CN" w:bidi="ar-SA"/>
    </w:rPr>
  </w:style>
  <w:style w:type="character" w:customStyle="1" w:styleId="25">
    <w:name w:val="ca-2"/>
    <w:basedOn w:val="14"/>
    <w:qFormat/>
    <w:uiPriority w:val="0"/>
  </w:style>
  <w:style w:type="character" w:customStyle="1" w:styleId="26">
    <w:name w:val="font21"/>
    <w:basedOn w:val="14"/>
    <w:qFormat/>
    <w:uiPriority w:val="0"/>
    <w:rPr>
      <w:rFonts w:hint="eastAsia" w:ascii="宋体" w:hAnsi="宋体" w:eastAsia="宋体" w:cs="宋体"/>
      <w:b/>
      <w:color w:val="000000"/>
      <w:sz w:val="18"/>
      <w:szCs w:val="18"/>
      <w:u w:val="none"/>
    </w:rPr>
  </w:style>
  <w:style w:type="character" w:customStyle="1" w:styleId="27">
    <w:name w:val="font81"/>
    <w:basedOn w:val="14"/>
    <w:qFormat/>
    <w:uiPriority w:val="0"/>
    <w:rPr>
      <w:rFonts w:hint="eastAsia" w:ascii="宋体" w:hAnsi="宋体" w:eastAsia="宋体" w:cs="宋体"/>
      <w:b/>
      <w:color w:val="FF0000"/>
      <w:sz w:val="18"/>
      <w:szCs w:val="18"/>
      <w:u w:val="none"/>
    </w:rPr>
  </w:style>
  <w:style w:type="character" w:customStyle="1" w:styleId="28">
    <w:name w:val="font51"/>
    <w:basedOn w:val="14"/>
    <w:qFormat/>
    <w:uiPriority w:val="0"/>
    <w:rPr>
      <w:rFonts w:hint="eastAsia" w:ascii="宋体" w:hAnsi="宋体" w:eastAsia="宋体" w:cs="宋体"/>
      <w:b/>
      <w:color w:val="000000"/>
      <w:sz w:val="16"/>
      <w:szCs w:val="16"/>
      <w:u w:val="none"/>
    </w:rPr>
  </w:style>
  <w:style w:type="character" w:customStyle="1" w:styleId="29">
    <w:name w:val="font31"/>
    <w:basedOn w:val="14"/>
    <w:qFormat/>
    <w:uiPriority w:val="0"/>
    <w:rPr>
      <w:rFonts w:hint="eastAsia" w:ascii="宋体" w:hAnsi="宋体" w:eastAsia="宋体" w:cs="宋体"/>
      <w:b/>
      <w:color w:val="FF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1812</Words>
  <Characters>1937</Characters>
  <Lines>0</Lines>
  <Paragraphs>0</Paragraphs>
  <TotalTime>14</TotalTime>
  <ScaleCrop>false</ScaleCrop>
  <LinksUpToDate>false</LinksUpToDate>
  <CharactersWithSpaces>1968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2021-06-16T03:57:00Z</dcterms:created>
  <dc:creator>XY</dc:creator>
  <cp:lastModifiedBy>ASUS</cp:lastModifiedBy>
  <cp:lastPrinted>2024-01-05T09:04:00Z</cp:lastPrinted>
  <dcterms:modified xsi:type="dcterms:W3CDTF">2025-02-26T00:54:35Z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641610DFCC084C11B6BC9483045469B3_13</vt:lpwstr>
  </property>
</Properties>
</file>